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14" w:rsidRPr="00D1051A" w:rsidRDefault="00FA6025" w:rsidP="00FA6025">
      <w:pPr>
        <w:jc w:val="center"/>
        <w:rPr>
          <w:rFonts w:ascii="Times New Roman" w:eastAsia="標楷體" w:hAnsi="Times New Roman"/>
          <w:b/>
          <w:sz w:val="36"/>
          <w:szCs w:val="36"/>
        </w:rPr>
      </w:pPr>
      <w:r w:rsidRPr="00537D32">
        <w:rPr>
          <w:rFonts w:ascii="標楷體" w:eastAsia="標楷體" w:hAnsi="標楷體" w:hint="eastAsia"/>
          <w:b/>
          <w:sz w:val="36"/>
          <w:szCs w:val="36"/>
        </w:rPr>
        <w:t>IFRS 9「金融工具」-</w:t>
      </w:r>
      <w:proofErr w:type="gramStart"/>
      <w:r w:rsidR="00A676DE" w:rsidRPr="00D1051A">
        <w:rPr>
          <w:rFonts w:ascii="Times New Roman" w:eastAsia="標楷體" w:hAnsi="Times New Roman"/>
          <w:b/>
          <w:sz w:val="36"/>
          <w:szCs w:val="36"/>
        </w:rPr>
        <w:t>非授信</w:t>
      </w:r>
      <w:proofErr w:type="gramEnd"/>
      <w:r w:rsidR="00A676DE" w:rsidRPr="00D1051A">
        <w:rPr>
          <w:rFonts w:ascii="Times New Roman" w:eastAsia="標楷體" w:hAnsi="Times New Roman"/>
          <w:b/>
          <w:sz w:val="36"/>
          <w:szCs w:val="36"/>
        </w:rPr>
        <w:t>資產</w:t>
      </w:r>
      <w:r w:rsidR="008529B9" w:rsidRPr="00270843">
        <w:rPr>
          <w:rFonts w:ascii="Times New Roman" w:eastAsia="標楷體" w:hAnsi="Times New Roman"/>
          <w:b/>
          <w:sz w:val="36"/>
          <w:szCs w:val="36"/>
        </w:rPr>
        <w:t>(</w:t>
      </w:r>
      <w:r w:rsidR="008529B9" w:rsidRPr="00270843">
        <w:rPr>
          <w:rFonts w:ascii="Times New Roman" w:eastAsia="標楷體" w:hAnsi="Times New Roman"/>
          <w:b/>
          <w:sz w:val="36"/>
          <w:szCs w:val="36"/>
        </w:rPr>
        <w:t>債務工具投資</w:t>
      </w:r>
      <w:r w:rsidR="008529B9" w:rsidRPr="00270843">
        <w:rPr>
          <w:rFonts w:ascii="Times New Roman" w:eastAsia="標楷體" w:hAnsi="Times New Roman"/>
          <w:b/>
          <w:sz w:val="36"/>
          <w:szCs w:val="36"/>
        </w:rPr>
        <w:t>)</w:t>
      </w:r>
      <w:r w:rsidR="00A676DE" w:rsidRPr="00D1051A">
        <w:rPr>
          <w:rFonts w:ascii="Times New Roman" w:eastAsia="標楷體" w:hAnsi="Times New Roman"/>
          <w:b/>
          <w:sz w:val="36"/>
          <w:szCs w:val="36"/>
        </w:rPr>
        <w:t>之</w:t>
      </w:r>
      <w:r w:rsidR="00E6583A">
        <w:rPr>
          <w:rFonts w:ascii="Times New Roman" w:eastAsia="標楷體" w:hAnsi="Times New Roman" w:hint="eastAsia"/>
          <w:b/>
          <w:sz w:val="36"/>
          <w:szCs w:val="36"/>
        </w:rPr>
        <w:t xml:space="preserve">        </w:t>
      </w:r>
      <w:r w:rsidR="00A676DE" w:rsidRPr="00D1051A">
        <w:rPr>
          <w:rFonts w:ascii="Times New Roman" w:eastAsia="標楷體" w:hAnsi="Times New Roman"/>
          <w:b/>
          <w:sz w:val="36"/>
          <w:szCs w:val="36"/>
        </w:rPr>
        <w:t>減損評估</w:t>
      </w:r>
      <w:r w:rsidR="00A3749B">
        <w:rPr>
          <w:rFonts w:eastAsia="標楷體" w:hint="eastAsia"/>
          <w:b/>
          <w:sz w:val="36"/>
          <w:szCs w:val="36"/>
        </w:rPr>
        <w:t>實務</w:t>
      </w:r>
      <w:r w:rsidR="00A676DE" w:rsidRPr="00D1051A">
        <w:rPr>
          <w:rFonts w:ascii="Times New Roman" w:eastAsia="標楷體" w:hAnsi="Times New Roman" w:hint="eastAsia"/>
          <w:b/>
          <w:sz w:val="36"/>
          <w:szCs w:val="36"/>
        </w:rPr>
        <w:t>指引</w:t>
      </w:r>
    </w:p>
    <w:p w:rsidR="00A676DE" w:rsidRPr="00D1051A" w:rsidRDefault="00A676DE" w:rsidP="00A676DE">
      <w:pPr>
        <w:pStyle w:val="a4"/>
        <w:numPr>
          <w:ilvl w:val="0"/>
          <w:numId w:val="1"/>
        </w:numPr>
        <w:ind w:leftChars="0"/>
        <w:rPr>
          <w:rFonts w:ascii="Times New Roman" w:eastAsia="標楷體" w:hAnsi="Times New Roman"/>
          <w:b/>
          <w:sz w:val="32"/>
          <w:szCs w:val="28"/>
        </w:rPr>
      </w:pPr>
      <w:r w:rsidRPr="00D1051A">
        <w:rPr>
          <w:rFonts w:ascii="Times New Roman" w:eastAsia="標楷體" w:hAnsi="Times New Roman" w:hint="eastAsia"/>
          <w:b/>
          <w:sz w:val="32"/>
          <w:szCs w:val="28"/>
        </w:rPr>
        <w:t>前言</w:t>
      </w:r>
    </w:p>
    <w:p w:rsidR="00D1051A" w:rsidRPr="00AE19BF" w:rsidRDefault="00A676DE" w:rsidP="00F248E8">
      <w:pPr>
        <w:pStyle w:val="a4"/>
        <w:spacing w:beforeLines="50" w:line="500" w:lineRule="exact"/>
        <w:ind w:leftChars="262" w:left="629"/>
        <w:jc w:val="both"/>
        <w:rPr>
          <w:rFonts w:ascii="Times New Roman" w:eastAsia="標楷體" w:hAnsi="Times New Roman" w:cs="T3Font_2"/>
          <w:kern w:val="0"/>
          <w:sz w:val="28"/>
          <w:szCs w:val="32"/>
        </w:rPr>
      </w:pPr>
      <w:r w:rsidRPr="00AE19BF">
        <w:rPr>
          <w:rFonts w:ascii="Times New Roman" w:eastAsia="標楷體" w:hAnsi="Times New Roman" w:hint="eastAsia"/>
          <w:sz w:val="28"/>
          <w:szCs w:val="28"/>
        </w:rPr>
        <w:t>國際會計準則理事會</w:t>
      </w:r>
      <w:r w:rsidRPr="00AE19BF">
        <w:rPr>
          <w:rFonts w:ascii="Times New Roman" w:eastAsia="標楷體" w:hAnsi="Times New Roman"/>
          <w:sz w:val="28"/>
          <w:szCs w:val="28"/>
        </w:rPr>
        <w:t>(IASB)</w:t>
      </w:r>
      <w:r w:rsidRPr="00AE19BF">
        <w:rPr>
          <w:rFonts w:ascii="Times New Roman" w:eastAsia="標楷體" w:hAnsi="Times New Roman" w:hint="eastAsia"/>
          <w:sz w:val="28"/>
          <w:szCs w:val="28"/>
        </w:rPr>
        <w:t>於民國</w:t>
      </w:r>
      <w:r w:rsidRPr="00AE19BF">
        <w:rPr>
          <w:rFonts w:ascii="Times New Roman" w:eastAsia="標楷體" w:hAnsi="Times New Roman"/>
          <w:sz w:val="28"/>
          <w:szCs w:val="28"/>
        </w:rPr>
        <w:t>103</w:t>
      </w:r>
      <w:r w:rsidRPr="00AE19BF">
        <w:rPr>
          <w:rFonts w:ascii="Times New Roman" w:eastAsia="標楷體" w:hAnsi="Times New Roman" w:hint="eastAsia"/>
          <w:sz w:val="28"/>
          <w:szCs w:val="28"/>
        </w:rPr>
        <w:t>年</w:t>
      </w:r>
      <w:r w:rsidRPr="00AE19BF">
        <w:rPr>
          <w:rFonts w:ascii="Times New Roman" w:eastAsia="標楷體" w:hAnsi="Times New Roman"/>
          <w:sz w:val="28"/>
          <w:szCs w:val="28"/>
        </w:rPr>
        <w:t>7</w:t>
      </w:r>
      <w:r w:rsidRPr="00AE19BF">
        <w:rPr>
          <w:rFonts w:ascii="Times New Roman" w:eastAsia="標楷體" w:hAnsi="Times New Roman" w:hint="eastAsia"/>
          <w:sz w:val="28"/>
          <w:szCs w:val="28"/>
        </w:rPr>
        <w:t>月正式公布</w:t>
      </w:r>
      <w:r w:rsidR="00CC170A" w:rsidRPr="00AE19BF">
        <w:rPr>
          <w:rFonts w:ascii="Times New Roman" w:eastAsia="標楷體" w:hAnsi="Times New Roman" w:hint="eastAsia"/>
          <w:sz w:val="28"/>
          <w:szCs w:val="28"/>
        </w:rPr>
        <w:t>國際財務報導準則第</w:t>
      </w:r>
      <w:r w:rsidR="00CC170A" w:rsidRPr="00AE19BF">
        <w:rPr>
          <w:rFonts w:ascii="Times New Roman" w:eastAsia="標楷體" w:hAnsi="Times New Roman"/>
          <w:sz w:val="28"/>
          <w:szCs w:val="28"/>
        </w:rPr>
        <w:t>9</w:t>
      </w:r>
      <w:r w:rsidR="00CC170A" w:rsidRPr="00AE19BF">
        <w:rPr>
          <w:rFonts w:ascii="Times New Roman" w:eastAsia="標楷體" w:hAnsi="Times New Roman" w:hint="eastAsia"/>
          <w:sz w:val="28"/>
          <w:szCs w:val="28"/>
        </w:rPr>
        <w:t>號</w:t>
      </w:r>
      <w:r w:rsidRPr="00AE19BF">
        <w:rPr>
          <w:rFonts w:ascii="Times New Roman" w:eastAsia="標楷體" w:hAnsi="Times New Roman" w:hint="eastAsia"/>
          <w:sz w:val="28"/>
          <w:szCs w:val="28"/>
        </w:rPr>
        <w:t>「金融工具」</w:t>
      </w:r>
      <w:r w:rsidR="00CC170A" w:rsidRPr="00AE19BF">
        <w:rPr>
          <w:rFonts w:ascii="Times New Roman" w:eastAsia="標楷體" w:hAnsi="Times New Roman"/>
          <w:sz w:val="28"/>
          <w:szCs w:val="28"/>
        </w:rPr>
        <w:t>(</w:t>
      </w:r>
      <w:r w:rsidR="00501623" w:rsidRPr="00AE19BF">
        <w:rPr>
          <w:rFonts w:ascii="Times New Roman" w:eastAsia="標楷體" w:hAnsi="Times New Roman" w:hint="eastAsia"/>
          <w:sz w:val="28"/>
          <w:szCs w:val="28"/>
        </w:rPr>
        <w:t>以下簡稱「</w:t>
      </w:r>
      <w:r w:rsidR="00CC170A" w:rsidRPr="00AE19BF">
        <w:rPr>
          <w:rFonts w:ascii="Times New Roman" w:eastAsia="標楷體" w:hAnsi="Times New Roman"/>
          <w:sz w:val="28"/>
          <w:szCs w:val="28"/>
        </w:rPr>
        <w:t>IFRS 9</w:t>
      </w:r>
      <w:r w:rsidR="00501623" w:rsidRPr="00AE19BF">
        <w:rPr>
          <w:rFonts w:ascii="Times New Roman" w:eastAsia="標楷體" w:hAnsi="Times New Roman" w:hint="eastAsia"/>
          <w:sz w:val="28"/>
          <w:szCs w:val="28"/>
        </w:rPr>
        <w:t>」</w:t>
      </w:r>
      <w:r w:rsidR="00CC170A" w:rsidRPr="00AE19BF">
        <w:rPr>
          <w:rFonts w:ascii="Times New Roman" w:eastAsia="標楷體" w:hAnsi="Times New Roman"/>
          <w:sz w:val="28"/>
          <w:szCs w:val="28"/>
        </w:rPr>
        <w:t>)</w:t>
      </w:r>
      <w:r w:rsidRPr="00AE19BF">
        <w:rPr>
          <w:rFonts w:ascii="Times New Roman" w:eastAsia="標楷體" w:hAnsi="Times New Roman" w:hint="eastAsia"/>
          <w:sz w:val="28"/>
          <w:szCs w:val="28"/>
        </w:rPr>
        <w:t>最終版本，</w:t>
      </w:r>
      <w:r w:rsidR="00535EC3" w:rsidRPr="00AE19BF">
        <w:rPr>
          <w:rFonts w:ascii="Times New Roman" w:eastAsia="標楷體" w:hAnsi="Times New Roman" w:hint="eastAsia"/>
          <w:sz w:val="28"/>
          <w:szCs w:val="28"/>
        </w:rPr>
        <w:t>以全面取代</w:t>
      </w:r>
      <w:r w:rsidR="00CC170A" w:rsidRPr="00AE19BF">
        <w:rPr>
          <w:rFonts w:ascii="Times New Roman" w:eastAsia="標楷體" w:hAnsi="Times New Roman" w:hint="eastAsia"/>
          <w:sz w:val="28"/>
          <w:szCs w:val="28"/>
        </w:rPr>
        <w:t>國際會計準則第</w:t>
      </w:r>
      <w:r w:rsidR="00CC170A" w:rsidRPr="00AE19BF">
        <w:rPr>
          <w:rFonts w:ascii="Times New Roman" w:eastAsia="標楷體" w:hAnsi="Times New Roman"/>
          <w:sz w:val="28"/>
          <w:szCs w:val="28"/>
        </w:rPr>
        <w:t>39</w:t>
      </w:r>
      <w:r w:rsidR="00CC170A" w:rsidRPr="00AE19BF">
        <w:rPr>
          <w:rFonts w:ascii="Times New Roman" w:eastAsia="標楷體" w:hAnsi="Times New Roman" w:hint="eastAsia"/>
          <w:sz w:val="28"/>
          <w:szCs w:val="28"/>
        </w:rPr>
        <w:t>號</w:t>
      </w:r>
      <w:r w:rsidR="00535EC3" w:rsidRPr="00AE19BF">
        <w:rPr>
          <w:rFonts w:ascii="Times New Roman" w:eastAsia="標楷體" w:hAnsi="Times New Roman" w:hint="eastAsia"/>
          <w:sz w:val="28"/>
          <w:szCs w:val="28"/>
        </w:rPr>
        <w:t>「金融工具：認列與衡量」</w:t>
      </w:r>
      <w:r w:rsidR="00CC170A" w:rsidRPr="00AE19BF">
        <w:rPr>
          <w:rFonts w:ascii="Times New Roman" w:eastAsia="標楷體" w:hAnsi="Times New Roman"/>
          <w:sz w:val="28"/>
          <w:szCs w:val="28"/>
        </w:rPr>
        <w:t>(IAS 39)</w:t>
      </w:r>
      <w:r w:rsidR="00535EC3" w:rsidRPr="00AE19BF">
        <w:rPr>
          <w:rFonts w:ascii="Times New Roman" w:eastAsia="標楷體" w:hAnsi="Times New Roman" w:hint="eastAsia"/>
          <w:sz w:val="28"/>
          <w:szCs w:val="28"/>
        </w:rPr>
        <w:t>。</w:t>
      </w:r>
      <w:r w:rsidR="003038A7" w:rsidRPr="00AE19BF">
        <w:rPr>
          <w:rFonts w:ascii="Times New Roman" w:eastAsia="標楷體" w:hAnsi="Times New Roman" w:cs="Times New Roman"/>
          <w:sz w:val="28"/>
          <w:szCs w:val="32"/>
        </w:rPr>
        <w:t>IFRS 9</w:t>
      </w:r>
      <w:r w:rsidR="003038A7" w:rsidRPr="00AE19BF">
        <w:rPr>
          <w:rFonts w:ascii="Times New Roman" w:eastAsia="標楷體" w:hAnsi="Times New Roman" w:cs="Times New Roman" w:hint="eastAsia"/>
          <w:sz w:val="28"/>
          <w:szCs w:val="32"/>
        </w:rPr>
        <w:t>主要內容包含範圍、認列與除列、分類與衡量、減損及避險會計。</w:t>
      </w:r>
      <w:r w:rsidR="00501623" w:rsidRPr="00AE19BF">
        <w:rPr>
          <w:rFonts w:ascii="Times New Roman" w:eastAsia="標楷體" w:hAnsi="Times New Roman" w:cs="Times New Roman"/>
          <w:sz w:val="28"/>
          <w:szCs w:val="32"/>
        </w:rPr>
        <w:t>IFRS 9</w:t>
      </w:r>
      <w:r w:rsidR="00501623" w:rsidRPr="00AE19BF">
        <w:rPr>
          <w:rFonts w:ascii="Times New Roman" w:eastAsia="標楷體" w:hAnsi="Times New Roman" w:cs="Times New Roman" w:hint="eastAsia"/>
          <w:sz w:val="28"/>
          <w:szCs w:val="32"/>
        </w:rPr>
        <w:t>改</w:t>
      </w:r>
      <w:proofErr w:type="gramStart"/>
      <w:r w:rsidR="00501623" w:rsidRPr="00AE19BF">
        <w:rPr>
          <w:rFonts w:ascii="Times New Roman" w:eastAsia="標楷體" w:hAnsi="Times New Roman" w:cs="Times New Roman" w:hint="eastAsia"/>
          <w:sz w:val="28"/>
          <w:szCs w:val="32"/>
        </w:rPr>
        <w:t>採</w:t>
      </w:r>
      <w:proofErr w:type="gramEnd"/>
      <w:r w:rsidR="00501623" w:rsidRPr="00AE19BF">
        <w:rPr>
          <w:rFonts w:ascii="Times New Roman" w:eastAsia="標楷體" w:hAnsi="Times New Roman" w:cs="Times New Roman" w:hint="eastAsia"/>
          <w:sz w:val="28"/>
          <w:szCs w:val="32"/>
        </w:rPr>
        <w:t>預期信用損失之新單一減損模式，整合表內</w:t>
      </w:r>
      <w:r w:rsidR="00501623" w:rsidRPr="00AE19BF">
        <w:rPr>
          <w:rFonts w:ascii="Times New Roman" w:eastAsia="標楷體" w:hAnsi="Times New Roman" w:cs="Times New Roman"/>
          <w:sz w:val="28"/>
          <w:szCs w:val="32"/>
        </w:rPr>
        <w:t>IAS 39</w:t>
      </w:r>
      <w:r w:rsidR="00501623" w:rsidRPr="00AE19BF">
        <w:rPr>
          <w:rFonts w:ascii="Times New Roman" w:eastAsia="標楷體" w:hAnsi="Times New Roman" w:cs="Times New Roman" w:hint="eastAsia"/>
          <w:sz w:val="28"/>
          <w:szCs w:val="32"/>
        </w:rPr>
        <w:t>及表外放款承諾及財務保證</w:t>
      </w:r>
      <w:r w:rsidR="00501623" w:rsidRPr="00AE19BF">
        <w:rPr>
          <w:rFonts w:ascii="Times New Roman" w:eastAsia="標楷體" w:hAnsi="Times New Roman" w:cs="Times New Roman"/>
          <w:sz w:val="28"/>
          <w:szCs w:val="32"/>
        </w:rPr>
        <w:t>(</w:t>
      </w:r>
      <w:r w:rsidR="00501623" w:rsidRPr="00AE19BF">
        <w:rPr>
          <w:rFonts w:ascii="Times New Roman" w:eastAsia="標楷體" w:hAnsi="Times New Roman" w:cs="Times New Roman" w:hint="eastAsia"/>
          <w:sz w:val="28"/>
          <w:szCs w:val="32"/>
        </w:rPr>
        <w:t>適用</w:t>
      </w:r>
      <w:r w:rsidR="00501623" w:rsidRPr="00AE19BF">
        <w:rPr>
          <w:rFonts w:ascii="Times New Roman" w:eastAsia="標楷體" w:hAnsi="Times New Roman" w:cs="Times New Roman"/>
          <w:sz w:val="28"/>
          <w:szCs w:val="32"/>
        </w:rPr>
        <w:t>IAS 37</w:t>
      </w:r>
      <w:r w:rsidR="00501623" w:rsidRPr="00AE19BF">
        <w:rPr>
          <w:rFonts w:ascii="Times New Roman" w:eastAsia="標楷體" w:hAnsi="Times New Roman" w:cs="Times New Roman" w:hint="eastAsia"/>
          <w:sz w:val="28"/>
          <w:szCs w:val="32"/>
        </w:rPr>
        <w:t>「負債準備、或有負債及或有資產」</w:t>
      </w:r>
      <w:r w:rsidR="00501623" w:rsidRPr="00AE19BF">
        <w:rPr>
          <w:rFonts w:ascii="Times New Roman" w:eastAsia="標楷體" w:hAnsi="Times New Roman" w:cs="Times New Roman"/>
          <w:sz w:val="28"/>
          <w:szCs w:val="32"/>
        </w:rPr>
        <w:t>)</w:t>
      </w:r>
      <w:r w:rsidR="00501623" w:rsidRPr="00AE19BF">
        <w:rPr>
          <w:rFonts w:ascii="Times New Roman" w:eastAsia="標楷體" w:hAnsi="Times New Roman" w:cs="Times New Roman" w:hint="eastAsia"/>
          <w:sz w:val="28"/>
          <w:szCs w:val="32"/>
        </w:rPr>
        <w:t>多種不同減損評估模式，並對適用範圍之表內外所有項目，適用相同衡量基準與方法，以取代現行</w:t>
      </w:r>
      <w:r w:rsidR="00501623" w:rsidRPr="00AE19BF">
        <w:rPr>
          <w:rFonts w:ascii="Times New Roman" w:eastAsia="標楷體" w:hAnsi="Times New Roman" w:cs="Times New Roman"/>
          <w:sz w:val="28"/>
          <w:szCs w:val="32"/>
        </w:rPr>
        <w:t>IAS 39</w:t>
      </w:r>
      <w:r w:rsidR="00501623" w:rsidRPr="00AE19BF">
        <w:rPr>
          <w:rFonts w:ascii="Times New Roman" w:eastAsia="標楷體" w:hAnsi="Times New Roman" w:cs="Times New Roman" w:hint="eastAsia"/>
          <w:sz w:val="28"/>
          <w:szCs w:val="32"/>
        </w:rPr>
        <w:t>之已發生損失模式。預期減損模型之</w:t>
      </w:r>
      <w:proofErr w:type="gramStart"/>
      <w:r w:rsidR="00501623" w:rsidRPr="00AE19BF">
        <w:rPr>
          <w:rFonts w:ascii="Times New Roman" w:eastAsia="標楷體" w:hAnsi="Times New Roman" w:cs="Times New Roman" w:hint="eastAsia"/>
          <w:sz w:val="28"/>
          <w:szCs w:val="32"/>
        </w:rPr>
        <w:t>減損認列</w:t>
      </w:r>
      <w:proofErr w:type="gramEnd"/>
      <w:r w:rsidR="00501623" w:rsidRPr="00AE19BF">
        <w:rPr>
          <w:rFonts w:ascii="Times New Roman" w:eastAsia="標楷體" w:hAnsi="Times New Roman" w:cs="Times New Roman" w:hint="eastAsia"/>
          <w:sz w:val="28"/>
          <w:szCs w:val="32"/>
        </w:rPr>
        <w:t>之啟動要件</w:t>
      </w:r>
      <w:r w:rsidR="00501623" w:rsidRPr="00AE19BF">
        <w:rPr>
          <w:rFonts w:ascii="Times New Roman" w:eastAsia="標楷體" w:hAnsi="Times New Roman" w:cs="Times New Roman" w:hint="eastAsia"/>
          <w:sz w:val="28"/>
          <w:szCs w:val="32"/>
        </w:rPr>
        <w:t>(</w:t>
      </w:r>
      <w:r w:rsidR="00501623" w:rsidRPr="00AE19BF">
        <w:rPr>
          <w:rFonts w:ascii="Times New Roman" w:eastAsia="標楷體" w:hAnsi="Times New Roman" w:cs="Times New Roman" w:hint="eastAsia"/>
          <w:sz w:val="28"/>
          <w:szCs w:val="32"/>
        </w:rPr>
        <w:t>不需</w:t>
      </w:r>
      <w:r w:rsidR="00501623" w:rsidRPr="00AE19BF">
        <w:rPr>
          <w:rFonts w:ascii="Times New Roman" w:eastAsia="標楷體" w:hAnsi="Times New Roman" w:cs="Times New Roman" w:hint="eastAsia"/>
          <w:sz w:val="28"/>
          <w:szCs w:val="32"/>
        </w:rPr>
        <w:t>IAS 39</w:t>
      </w:r>
      <w:r w:rsidR="00501623" w:rsidRPr="00AE19BF">
        <w:rPr>
          <w:rFonts w:ascii="Times New Roman" w:eastAsia="標楷體" w:hAnsi="Times New Roman" w:cs="Times New Roman" w:hint="eastAsia"/>
          <w:sz w:val="28"/>
          <w:szCs w:val="32"/>
        </w:rPr>
        <w:t>下規定之減損客觀證據</w:t>
      </w:r>
      <w:r w:rsidR="00501623" w:rsidRPr="00AE19BF">
        <w:rPr>
          <w:rFonts w:ascii="Times New Roman" w:eastAsia="標楷體" w:hAnsi="Times New Roman" w:cs="Times New Roman" w:hint="eastAsia"/>
          <w:sz w:val="28"/>
          <w:szCs w:val="32"/>
        </w:rPr>
        <w:t>)</w:t>
      </w:r>
      <w:r w:rsidR="00501623" w:rsidRPr="00AE19BF">
        <w:rPr>
          <w:rFonts w:ascii="Times New Roman" w:eastAsia="標楷體" w:hAnsi="Times New Roman" w:cs="Times New Roman" w:hint="eastAsia"/>
          <w:sz w:val="28"/>
          <w:szCs w:val="32"/>
        </w:rPr>
        <w:t>、評估方式、認列及衡量方式與</w:t>
      </w:r>
      <w:r w:rsidR="00501623" w:rsidRPr="00AE19BF">
        <w:rPr>
          <w:rFonts w:ascii="Times New Roman" w:eastAsia="標楷體" w:hAnsi="Times New Roman" w:cs="Times New Roman"/>
          <w:sz w:val="28"/>
          <w:szCs w:val="32"/>
        </w:rPr>
        <w:t>IAS 39</w:t>
      </w:r>
      <w:r w:rsidR="00501623" w:rsidRPr="00AE19BF">
        <w:rPr>
          <w:rFonts w:ascii="Times New Roman" w:eastAsia="標楷體" w:hAnsi="Times New Roman" w:cs="Times New Roman" w:hint="eastAsia"/>
          <w:sz w:val="28"/>
          <w:szCs w:val="32"/>
        </w:rPr>
        <w:t>完全不同。</w:t>
      </w:r>
      <w:r w:rsidR="00501623" w:rsidRPr="00AE19BF">
        <w:rPr>
          <w:rFonts w:ascii="Times New Roman" w:eastAsia="標楷體" w:hAnsi="Times New Roman" w:cs="Times New Roman"/>
          <w:sz w:val="28"/>
          <w:szCs w:val="32"/>
        </w:rPr>
        <w:t>IFRS 9</w:t>
      </w:r>
      <w:r w:rsidR="00501623" w:rsidRPr="00AE19BF">
        <w:rPr>
          <w:rFonts w:ascii="Times New Roman" w:eastAsia="標楷體" w:hAnsi="Times New Roman" w:cs="Times New Roman" w:hint="eastAsia"/>
          <w:sz w:val="28"/>
          <w:szCs w:val="32"/>
        </w:rPr>
        <w:t>預期減損規範之主要目標，即在無需過度成本或投入即可取得所有與過去事項、現時狀況及未來經濟狀況有關之合理且可佐證之資訊</w:t>
      </w:r>
      <w:r w:rsidR="00501623" w:rsidRPr="00AE19BF">
        <w:rPr>
          <w:rFonts w:ascii="Times New Roman" w:eastAsia="標楷體" w:hAnsi="Times New Roman" w:cs="Times New Roman"/>
          <w:sz w:val="28"/>
          <w:szCs w:val="32"/>
        </w:rPr>
        <w:t>(</w:t>
      </w:r>
      <w:r w:rsidR="00501623" w:rsidRPr="00AE19BF">
        <w:rPr>
          <w:rFonts w:ascii="Times New Roman" w:eastAsia="標楷體" w:hAnsi="Times New Roman" w:cs="Times New Roman" w:hint="eastAsia"/>
          <w:sz w:val="28"/>
          <w:szCs w:val="32"/>
        </w:rPr>
        <w:t>包括前瞻性總體經濟資訊</w:t>
      </w:r>
      <w:r w:rsidR="00501623" w:rsidRPr="00AE19BF">
        <w:rPr>
          <w:rFonts w:ascii="Times New Roman" w:eastAsia="標楷體" w:hAnsi="Times New Roman" w:cs="Times New Roman"/>
          <w:sz w:val="28"/>
          <w:szCs w:val="32"/>
        </w:rPr>
        <w:t>)</w:t>
      </w:r>
      <w:r w:rsidR="00501623" w:rsidRPr="00AE19BF">
        <w:rPr>
          <w:rFonts w:ascii="Times New Roman" w:eastAsia="標楷體" w:hAnsi="Times New Roman" w:cs="Times New Roman" w:hint="eastAsia"/>
          <w:sz w:val="28"/>
          <w:szCs w:val="32"/>
        </w:rPr>
        <w:t>，用以判斷金融工具自原始認列後信用風險是否顯著增加，而認列</w:t>
      </w:r>
      <w:r w:rsidR="00501623" w:rsidRPr="00AE19BF">
        <w:rPr>
          <w:rFonts w:ascii="Times New Roman" w:eastAsia="標楷體" w:hAnsi="Times New Roman" w:cs="Times New Roman"/>
          <w:sz w:val="28"/>
          <w:szCs w:val="32"/>
        </w:rPr>
        <w:t>12</w:t>
      </w:r>
      <w:r w:rsidR="00DC76E1" w:rsidRPr="00AE19BF">
        <w:rPr>
          <w:rFonts w:ascii="Times New Roman" w:eastAsia="標楷體" w:hAnsi="Times New Roman" w:cs="Times New Roman" w:hint="eastAsia"/>
          <w:sz w:val="28"/>
          <w:szCs w:val="32"/>
        </w:rPr>
        <w:t>個</w:t>
      </w:r>
      <w:r w:rsidR="00501623" w:rsidRPr="00AE19BF">
        <w:rPr>
          <w:rFonts w:ascii="Times New Roman" w:eastAsia="標楷體" w:hAnsi="Times New Roman" w:cs="Times New Roman" w:hint="eastAsia"/>
          <w:sz w:val="28"/>
          <w:szCs w:val="32"/>
        </w:rPr>
        <w:t>月或存續期間之預期信用損失。</w:t>
      </w:r>
    </w:p>
    <w:p w:rsidR="008529B9" w:rsidRPr="00AE19BF" w:rsidRDefault="008529B9" w:rsidP="00F248E8">
      <w:pPr>
        <w:spacing w:beforeLines="50" w:line="500" w:lineRule="exact"/>
        <w:ind w:leftChars="235" w:left="564"/>
        <w:jc w:val="both"/>
        <w:rPr>
          <w:rFonts w:ascii="Times New Roman" w:eastAsia="標楷體" w:hAnsi="Times New Roman"/>
          <w:sz w:val="28"/>
          <w:szCs w:val="28"/>
        </w:rPr>
      </w:pPr>
      <w:r w:rsidRPr="00AE19BF">
        <w:rPr>
          <w:rFonts w:ascii="Times New Roman" w:eastAsia="標楷體" w:hAnsi="Times New Roman" w:hint="eastAsia"/>
          <w:sz w:val="28"/>
          <w:szCs w:val="28"/>
        </w:rPr>
        <w:t>本指引係基於</w:t>
      </w:r>
      <w:r w:rsidRPr="00AE19BF">
        <w:rPr>
          <w:rFonts w:ascii="Times New Roman" w:eastAsia="標楷體" w:hAnsi="Times New Roman" w:hint="eastAsia"/>
          <w:sz w:val="28"/>
          <w:szCs w:val="28"/>
        </w:rPr>
        <w:t>IFRS 9</w:t>
      </w:r>
      <w:proofErr w:type="gramStart"/>
      <w:r w:rsidRPr="00AE19BF">
        <w:rPr>
          <w:rFonts w:ascii="Times New Roman" w:eastAsia="標楷體" w:hAnsi="Times New Roman" w:hint="eastAsia"/>
          <w:sz w:val="28"/>
          <w:szCs w:val="28"/>
        </w:rPr>
        <w:t>說明非授信</w:t>
      </w:r>
      <w:proofErr w:type="gramEnd"/>
      <w:r w:rsidRPr="00AE19BF">
        <w:rPr>
          <w:rFonts w:ascii="Times New Roman" w:eastAsia="標楷體" w:hAnsi="Times New Roman" w:hint="eastAsia"/>
          <w:sz w:val="28"/>
          <w:szCs w:val="28"/>
        </w:rPr>
        <w:t>資產</w:t>
      </w:r>
      <w:r w:rsidRPr="00AE19BF">
        <w:rPr>
          <w:rFonts w:ascii="Times New Roman" w:eastAsia="標楷體" w:hAnsi="Times New Roman" w:hint="eastAsia"/>
          <w:sz w:val="28"/>
          <w:szCs w:val="28"/>
        </w:rPr>
        <w:t>(</w:t>
      </w:r>
      <w:r w:rsidRPr="00AE19BF">
        <w:rPr>
          <w:rFonts w:ascii="Times New Roman" w:eastAsia="標楷體" w:hAnsi="Times New Roman" w:hint="eastAsia"/>
          <w:sz w:val="28"/>
          <w:szCs w:val="28"/>
        </w:rPr>
        <w:t>債務工具投資</w:t>
      </w:r>
      <w:r w:rsidRPr="00AE19BF">
        <w:rPr>
          <w:rFonts w:ascii="Times New Roman" w:eastAsia="標楷體" w:hAnsi="Times New Roman" w:hint="eastAsia"/>
          <w:sz w:val="28"/>
          <w:szCs w:val="28"/>
        </w:rPr>
        <w:t>)</w:t>
      </w:r>
      <w:r w:rsidRPr="00AE19BF">
        <w:rPr>
          <w:rFonts w:ascii="Times New Roman" w:eastAsia="標楷體" w:hAnsi="Times New Roman" w:hint="eastAsia"/>
          <w:sz w:val="28"/>
          <w:szCs w:val="28"/>
        </w:rPr>
        <w:t>之減損評估，於採用預期損失模式應考量事項，及</w:t>
      </w:r>
      <w:proofErr w:type="gramStart"/>
      <w:r w:rsidRPr="00AE19BF">
        <w:rPr>
          <w:rFonts w:ascii="Times New Roman" w:eastAsia="標楷體" w:hAnsi="Times New Roman" w:hint="eastAsia"/>
          <w:sz w:val="28"/>
          <w:szCs w:val="28"/>
        </w:rPr>
        <w:t>提供釋例說明</w:t>
      </w:r>
      <w:proofErr w:type="gramEnd"/>
      <w:r w:rsidRPr="00AE19BF">
        <w:rPr>
          <w:rFonts w:ascii="Times New Roman" w:eastAsia="標楷體" w:hAnsi="Times New Roman" w:hint="eastAsia"/>
          <w:sz w:val="28"/>
          <w:szCs w:val="28"/>
        </w:rPr>
        <w:t>其應用。</w:t>
      </w:r>
    </w:p>
    <w:p w:rsidR="008529B9" w:rsidRPr="00AE19BF" w:rsidRDefault="008529B9" w:rsidP="00D1051A">
      <w:pPr>
        <w:pStyle w:val="a4"/>
        <w:spacing w:line="500" w:lineRule="exact"/>
        <w:ind w:leftChars="262" w:left="629"/>
        <w:jc w:val="both"/>
        <w:rPr>
          <w:rFonts w:ascii="Times New Roman" w:eastAsia="標楷體" w:hAnsi="Times New Roman" w:cs="Times New Roman"/>
          <w:sz w:val="28"/>
          <w:szCs w:val="32"/>
        </w:rPr>
      </w:pPr>
    </w:p>
    <w:p w:rsidR="00D56323" w:rsidRPr="00AE19BF" w:rsidRDefault="00B85B2C" w:rsidP="00D56323">
      <w:pPr>
        <w:pStyle w:val="a4"/>
        <w:numPr>
          <w:ilvl w:val="0"/>
          <w:numId w:val="1"/>
        </w:numPr>
        <w:ind w:leftChars="0"/>
        <w:rPr>
          <w:rFonts w:ascii="Times New Roman" w:eastAsia="標楷體" w:hAnsi="Times New Roman"/>
          <w:b/>
          <w:sz w:val="32"/>
          <w:szCs w:val="32"/>
        </w:rPr>
      </w:pPr>
      <w:r w:rsidRPr="00AE19BF">
        <w:rPr>
          <w:rFonts w:ascii="Times New Roman" w:eastAsia="標楷體" w:hAnsi="Times New Roman" w:hint="eastAsia"/>
          <w:b/>
          <w:sz w:val="32"/>
          <w:szCs w:val="32"/>
        </w:rPr>
        <w:t>指引內容</w:t>
      </w:r>
    </w:p>
    <w:p w:rsidR="002C030C" w:rsidRPr="00AE19BF" w:rsidRDefault="00501623" w:rsidP="00F248E8">
      <w:pPr>
        <w:pStyle w:val="a4"/>
        <w:numPr>
          <w:ilvl w:val="0"/>
          <w:numId w:val="26"/>
        </w:numPr>
        <w:spacing w:afterLines="50" w:line="500" w:lineRule="exact"/>
        <w:ind w:leftChars="0"/>
        <w:jc w:val="both"/>
        <w:rPr>
          <w:rFonts w:ascii="Times New Roman" w:eastAsia="標楷體" w:hAnsi="Times New Roman"/>
          <w:sz w:val="28"/>
          <w:szCs w:val="28"/>
        </w:rPr>
      </w:pPr>
      <w:r w:rsidRPr="00AE19BF">
        <w:rPr>
          <w:rFonts w:ascii="Times New Roman" w:eastAsia="標楷體" w:hAnsi="Times New Roman" w:hint="eastAsia"/>
          <w:sz w:val="28"/>
          <w:szCs w:val="28"/>
        </w:rPr>
        <w:t>企業判定債務工具自原始認列後信用風險是否顯著增加時</w:t>
      </w:r>
      <w:r w:rsidR="00344F99" w:rsidRPr="00AE19BF">
        <w:rPr>
          <w:rFonts w:ascii="Times New Roman" w:eastAsia="標楷體" w:hAnsi="Times New Roman" w:hint="eastAsia"/>
          <w:sz w:val="28"/>
          <w:szCs w:val="28"/>
        </w:rPr>
        <w:t>，</w:t>
      </w:r>
      <w:r w:rsidR="00D56323" w:rsidRPr="00AE19BF">
        <w:rPr>
          <w:rFonts w:ascii="Times New Roman" w:eastAsia="標楷體" w:hAnsi="Times New Roman" w:hint="eastAsia"/>
          <w:sz w:val="28"/>
          <w:szCs w:val="28"/>
        </w:rPr>
        <w:t>可參照</w:t>
      </w:r>
      <w:r w:rsidR="00D56323" w:rsidRPr="00AE19BF">
        <w:rPr>
          <w:rFonts w:ascii="Times New Roman" w:eastAsia="標楷體" w:hAnsi="Times New Roman"/>
          <w:sz w:val="28"/>
          <w:szCs w:val="28"/>
        </w:rPr>
        <w:t>IFRS 9</w:t>
      </w:r>
      <w:r w:rsidR="00D56323" w:rsidRPr="00AE19BF">
        <w:rPr>
          <w:rFonts w:ascii="Times New Roman" w:eastAsia="標楷體" w:hAnsi="Times New Roman" w:hint="eastAsia"/>
          <w:sz w:val="28"/>
          <w:szCs w:val="28"/>
        </w:rPr>
        <w:t>第</w:t>
      </w:r>
      <w:r w:rsidR="00D56323" w:rsidRPr="00AE19BF">
        <w:rPr>
          <w:rFonts w:ascii="Times New Roman" w:eastAsia="標楷體" w:hAnsi="Times New Roman"/>
          <w:sz w:val="28"/>
          <w:szCs w:val="28"/>
        </w:rPr>
        <w:t>5.5.10</w:t>
      </w:r>
      <w:r w:rsidR="00D56323" w:rsidRPr="00AE19BF">
        <w:rPr>
          <w:rFonts w:ascii="Times New Roman" w:eastAsia="標楷體" w:hAnsi="Times New Roman" w:hint="eastAsia"/>
          <w:sz w:val="28"/>
          <w:szCs w:val="28"/>
        </w:rPr>
        <w:t>段之說明，若金融工具於</w:t>
      </w:r>
      <w:r w:rsidRPr="00AE19BF">
        <w:rPr>
          <w:rFonts w:ascii="Times New Roman" w:eastAsia="標楷體" w:hAnsi="Times New Roman" w:hint="eastAsia"/>
          <w:sz w:val="28"/>
          <w:szCs w:val="28"/>
        </w:rPr>
        <w:t>財務</w:t>
      </w:r>
      <w:r w:rsidR="00D56323" w:rsidRPr="00AE19BF">
        <w:rPr>
          <w:rFonts w:ascii="Times New Roman" w:eastAsia="標楷體" w:hAnsi="Times New Roman" w:hint="eastAsia"/>
          <w:sz w:val="28"/>
          <w:szCs w:val="28"/>
        </w:rPr>
        <w:t>報導日之信用風險低</w:t>
      </w:r>
      <w:r w:rsidR="00302F13" w:rsidRPr="00AE19BF">
        <w:rPr>
          <w:rFonts w:ascii="Times New Roman" w:eastAsia="標楷體" w:hAnsi="Times New Roman" w:hint="eastAsia"/>
          <w:sz w:val="28"/>
          <w:szCs w:val="28"/>
        </w:rPr>
        <w:t>(</w:t>
      </w:r>
      <w:r w:rsidR="00302F13" w:rsidRPr="00AE19BF">
        <w:rPr>
          <w:rFonts w:ascii="Times New Roman" w:eastAsia="標楷體" w:hAnsi="Times New Roman" w:hint="eastAsia"/>
          <w:sz w:val="28"/>
          <w:szCs w:val="28"/>
        </w:rPr>
        <w:t>見第</w:t>
      </w:r>
      <w:r w:rsidR="00302F13" w:rsidRPr="00AE19BF">
        <w:rPr>
          <w:rFonts w:ascii="Times New Roman" w:eastAsia="標楷體" w:hAnsi="Times New Roman" w:hint="eastAsia"/>
          <w:sz w:val="28"/>
          <w:szCs w:val="28"/>
        </w:rPr>
        <w:t>B5.5.22</w:t>
      </w:r>
      <w:r w:rsidR="00302F13" w:rsidRPr="00AE19BF">
        <w:rPr>
          <w:rFonts w:ascii="Times New Roman" w:eastAsia="標楷體" w:hAnsi="Times New Roman" w:hint="eastAsia"/>
          <w:sz w:val="28"/>
          <w:szCs w:val="28"/>
        </w:rPr>
        <w:t>至</w:t>
      </w:r>
      <w:r w:rsidR="00302F13" w:rsidRPr="00AE19BF">
        <w:rPr>
          <w:rFonts w:ascii="Times New Roman" w:eastAsia="標楷體" w:hAnsi="Times New Roman" w:hint="eastAsia"/>
          <w:sz w:val="28"/>
          <w:szCs w:val="28"/>
        </w:rPr>
        <w:t>B5.5.24</w:t>
      </w:r>
      <w:r w:rsidR="00302F13" w:rsidRPr="00AE19BF">
        <w:rPr>
          <w:rFonts w:ascii="Times New Roman" w:eastAsia="標楷體" w:hAnsi="Times New Roman" w:hint="eastAsia"/>
          <w:sz w:val="28"/>
          <w:szCs w:val="28"/>
        </w:rPr>
        <w:t>段</w:t>
      </w:r>
      <w:r w:rsidR="00302F13" w:rsidRPr="00AE19BF">
        <w:rPr>
          <w:rFonts w:ascii="Times New Roman" w:eastAsia="標楷體" w:hAnsi="Times New Roman" w:hint="eastAsia"/>
          <w:sz w:val="28"/>
          <w:szCs w:val="28"/>
        </w:rPr>
        <w:t>)</w:t>
      </w:r>
      <w:r w:rsidR="00D56323" w:rsidRPr="00AE19BF">
        <w:rPr>
          <w:rFonts w:ascii="Times New Roman" w:eastAsia="標楷體" w:hAnsi="Times New Roman" w:hint="eastAsia"/>
          <w:sz w:val="28"/>
          <w:szCs w:val="28"/>
        </w:rPr>
        <w:t>，得假設該金融工具自原始認列後信用風險並未顯著增加</w:t>
      </w:r>
      <w:r w:rsidR="00EF2EA0" w:rsidRPr="00AE19BF">
        <w:rPr>
          <w:rFonts w:ascii="Times New Roman" w:eastAsia="標楷體" w:hAnsi="Times New Roman" w:hint="eastAsia"/>
          <w:sz w:val="28"/>
          <w:szCs w:val="28"/>
        </w:rPr>
        <w:t>，此為一般作法之例外</w:t>
      </w:r>
      <w:r w:rsidR="00892280" w:rsidRPr="00AE19BF">
        <w:rPr>
          <w:rFonts w:ascii="Times New Roman" w:eastAsia="標楷體" w:hAnsi="Times New Roman" w:hint="eastAsia"/>
          <w:sz w:val="28"/>
          <w:szCs w:val="28"/>
        </w:rPr>
        <w:t>簡化作法</w:t>
      </w:r>
      <w:r w:rsidR="00D56323" w:rsidRPr="00AE19BF">
        <w:rPr>
          <w:rFonts w:ascii="Times New Roman" w:eastAsia="標楷體" w:hAnsi="Times New Roman" w:hint="eastAsia"/>
          <w:sz w:val="28"/>
          <w:szCs w:val="28"/>
        </w:rPr>
        <w:t>。判斷</w:t>
      </w:r>
      <w:r w:rsidR="00D56323" w:rsidRPr="00AE19BF">
        <w:rPr>
          <w:rFonts w:ascii="Times New Roman" w:eastAsia="標楷體" w:hAnsi="Times New Roman" w:hint="eastAsia"/>
          <w:sz w:val="28"/>
          <w:szCs w:val="28"/>
        </w:rPr>
        <w:lastRenderedPageBreak/>
        <w:t>金融工具信用風險低的方式：</w:t>
      </w:r>
    </w:p>
    <w:p w:rsidR="002C030C" w:rsidRPr="00AE19BF" w:rsidRDefault="00D56323" w:rsidP="00F248E8">
      <w:pPr>
        <w:pStyle w:val="a4"/>
        <w:numPr>
          <w:ilvl w:val="0"/>
          <w:numId w:val="24"/>
        </w:numPr>
        <w:spacing w:afterLines="50" w:line="500" w:lineRule="exact"/>
        <w:ind w:leftChars="0"/>
        <w:jc w:val="both"/>
        <w:rPr>
          <w:rFonts w:ascii="Times New Roman" w:eastAsia="標楷體" w:hAnsi="Times New Roman"/>
          <w:sz w:val="28"/>
          <w:szCs w:val="28"/>
        </w:rPr>
      </w:pPr>
      <w:r w:rsidRPr="00AE19BF">
        <w:rPr>
          <w:rFonts w:ascii="Times New Roman" w:eastAsia="標楷體" w:hAnsi="Times New Roman"/>
          <w:sz w:val="28"/>
          <w:szCs w:val="28"/>
        </w:rPr>
        <w:t>得使用內部信用風險評等或其他方法，若該評等或其他方法係與全球所認知之信用風險低定義一致且考量所評估金融工具之風險及類型。</w:t>
      </w:r>
    </w:p>
    <w:p w:rsidR="00D56323" w:rsidRPr="00AE19BF" w:rsidRDefault="00D56323" w:rsidP="00F248E8">
      <w:pPr>
        <w:pStyle w:val="a4"/>
        <w:numPr>
          <w:ilvl w:val="0"/>
          <w:numId w:val="24"/>
        </w:numPr>
        <w:spacing w:afterLines="50" w:line="500" w:lineRule="exact"/>
        <w:ind w:leftChars="0"/>
        <w:jc w:val="both"/>
        <w:rPr>
          <w:rFonts w:ascii="Times New Roman" w:eastAsia="標楷體" w:hAnsi="Times New Roman"/>
          <w:sz w:val="28"/>
          <w:szCs w:val="28"/>
        </w:rPr>
      </w:pPr>
      <w:r w:rsidRPr="00AE19BF">
        <w:rPr>
          <w:rFonts w:asciiTheme="majorHAnsi" w:eastAsia="標楷體" w:hAnsiTheme="majorHAnsi" w:cs="Times New Roman"/>
          <w:sz w:val="28"/>
          <w:szCs w:val="28"/>
        </w:rPr>
        <w:t>金融工具可能被認為信用風險低之一例為外部評等列為「投資等級」者。</w:t>
      </w:r>
      <w:proofErr w:type="gramStart"/>
      <w:r w:rsidRPr="00AE19BF">
        <w:rPr>
          <w:rFonts w:asciiTheme="majorHAnsi" w:eastAsia="標楷體" w:hAnsiTheme="majorHAnsi" w:cs="Times New Roman"/>
          <w:sz w:val="28"/>
          <w:szCs w:val="28"/>
        </w:rPr>
        <w:t>惟</w:t>
      </w:r>
      <w:proofErr w:type="gramEnd"/>
      <w:r w:rsidRPr="00AE19BF">
        <w:rPr>
          <w:rFonts w:asciiTheme="majorHAnsi" w:eastAsia="標楷體" w:hAnsiTheme="majorHAnsi" w:cs="Times New Roman"/>
          <w:sz w:val="28"/>
          <w:szCs w:val="28"/>
        </w:rPr>
        <w:t>金融工具要被視為信用風險低，外部評等並非必須，但</w:t>
      </w:r>
      <w:r w:rsidR="00C24602">
        <w:rPr>
          <w:rFonts w:asciiTheme="majorHAnsi" w:eastAsia="標楷體" w:hAnsiTheme="majorHAnsi" w:cs="Times New Roman" w:hint="eastAsia"/>
          <w:sz w:val="28"/>
          <w:szCs w:val="28"/>
        </w:rPr>
        <w:t>須</w:t>
      </w:r>
      <w:r w:rsidRPr="00AE19BF">
        <w:rPr>
          <w:rFonts w:asciiTheme="majorHAnsi" w:eastAsia="標楷體" w:hAnsiTheme="majorHAnsi" w:cs="Times New Roman"/>
          <w:sz w:val="28"/>
          <w:szCs w:val="28"/>
        </w:rPr>
        <w:t>將金融工具所有條款及條件納入考量後，</w:t>
      </w:r>
      <w:r w:rsidR="00C24602">
        <w:rPr>
          <w:rFonts w:asciiTheme="majorHAnsi" w:eastAsia="標楷體" w:hAnsiTheme="majorHAnsi" w:cs="Times New Roman" w:hint="eastAsia"/>
          <w:sz w:val="28"/>
          <w:szCs w:val="28"/>
        </w:rPr>
        <w:t>從市場參與者之立場</w:t>
      </w:r>
      <w:r w:rsidRPr="00AE19BF">
        <w:rPr>
          <w:rFonts w:asciiTheme="majorHAnsi" w:eastAsia="標楷體" w:hAnsiTheme="majorHAnsi" w:cs="Times New Roman"/>
          <w:sz w:val="28"/>
          <w:szCs w:val="28"/>
        </w:rPr>
        <w:t>被視為信用風險低。</w:t>
      </w:r>
    </w:p>
    <w:p w:rsidR="00C17A27" w:rsidRPr="00AE19BF" w:rsidRDefault="009C4165" w:rsidP="00F248E8">
      <w:pPr>
        <w:spacing w:afterLines="50" w:line="500" w:lineRule="exact"/>
        <w:ind w:left="1200"/>
        <w:jc w:val="both"/>
        <w:rPr>
          <w:rFonts w:ascii="Times New Roman" w:eastAsia="標楷體" w:hAnsi="Times New Roman"/>
          <w:sz w:val="28"/>
          <w:szCs w:val="28"/>
        </w:rPr>
      </w:pPr>
      <w:r w:rsidRPr="00AE19BF">
        <w:rPr>
          <w:rFonts w:ascii="Times New Roman" w:eastAsia="標楷體" w:hAnsi="Times New Roman" w:hint="eastAsia"/>
          <w:sz w:val="28"/>
          <w:szCs w:val="28"/>
        </w:rPr>
        <w:t>綜上之概念，債務工具於報導日具有評等</w:t>
      </w:r>
      <w:r w:rsidR="00A17F3E" w:rsidRPr="00AE19BF">
        <w:rPr>
          <w:rFonts w:ascii="Times New Roman" w:eastAsia="標楷體" w:hAnsi="Times New Roman" w:hint="eastAsia"/>
          <w:sz w:val="28"/>
          <w:szCs w:val="28"/>
        </w:rPr>
        <w:t>資訊</w:t>
      </w:r>
      <w:r w:rsidRPr="00AE19BF">
        <w:rPr>
          <w:rFonts w:ascii="Times New Roman" w:eastAsia="標楷體" w:hAnsi="Times New Roman" w:hint="eastAsia"/>
          <w:sz w:val="28"/>
          <w:szCs w:val="28"/>
        </w:rPr>
        <w:t>且屬投資等級者，</w:t>
      </w:r>
      <w:r w:rsidR="002C030C" w:rsidRPr="00AE19BF">
        <w:rPr>
          <w:rFonts w:ascii="Times New Roman" w:eastAsia="標楷體" w:hAnsi="Times New Roman" w:hint="eastAsia"/>
          <w:sz w:val="28"/>
          <w:szCs w:val="28"/>
        </w:rPr>
        <w:t>則</w:t>
      </w:r>
      <w:r w:rsidR="00DA27AB" w:rsidRPr="00AE19BF">
        <w:rPr>
          <w:rFonts w:ascii="Times New Roman" w:eastAsia="標楷體" w:hAnsi="Times New Roman" w:hint="eastAsia"/>
          <w:sz w:val="28"/>
          <w:szCs w:val="28"/>
        </w:rPr>
        <w:t>被視</w:t>
      </w:r>
      <w:r w:rsidRPr="00AE19BF">
        <w:rPr>
          <w:rFonts w:ascii="Times New Roman" w:eastAsia="標楷體" w:hAnsi="Times New Roman" w:hint="eastAsia"/>
          <w:sz w:val="28"/>
          <w:szCs w:val="28"/>
        </w:rPr>
        <w:t>為信用風險</w:t>
      </w:r>
      <w:r w:rsidR="00DA27AB" w:rsidRPr="00AE19BF">
        <w:rPr>
          <w:rFonts w:ascii="Times New Roman" w:eastAsia="標楷體" w:hAnsi="Times New Roman" w:hint="eastAsia"/>
          <w:sz w:val="28"/>
          <w:szCs w:val="28"/>
        </w:rPr>
        <w:t>低</w:t>
      </w:r>
      <w:r w:rsidRPr="00AE19BF">
        <w:rPr>
          <w:rFonts w:ascii="Times New Roman" w:eastAsia="標楷體" w:hAnsi="Times New Roman" w:hint="eastAsia"/>
          <w:sz w:val="28"/>
          <w:szCs w:val="28"/>
        </w:rPr>
        <w:t>，於報導日判定</w:t>
      </w:r>
      <w:r w:rsidR="00DA27AB" w:rsidRPr="00AE19BF">
        <w:rPr>
          <w:rFonts w:ascii="Times New Roman" w:eastAsia="標楷體" w:hAnsi="Times New Roman" w:hint="eastAsia"/>
          <w:sz w:val="28"/>
          <w:szCs w:val="28"/>
        </w:rPr>
        <w:t>該工具自原始認列後</w:t>
      </w:r>
      <w:r w:rsidRPr="00AE19BF">
        <w:rPr>
          <w:rFonts w:ascii="Times New Roman" w:eastAsia="標楷體" w:hAnsi="Times New Roman" w:hint="eastAsia"/>
          <w:sz w:val="28"/>
          <w:szCs w:val="28"/>
        </w:rPr>
        <w:t>信用風險</w:t>
      </w:r>
      <w:r w:rsidR="00DA27AB" w:rsidRPr="00AE19BF">
        <w:rPr>
          <w:rFonts w:ascii="Times New Roman" w:eastAsia="標楷體" w:hAnsi="Times New Roman" w:hint="eastAsia"/>
          <w:sz w:val="28"/>
          <w:szCs w:val="28"/>
        </w:rPr>
        <w:t>並未</w:t>
      </w:r>
      <w:r w:rsidRPr="00AE19BF">
        <w:rPr>
          <w:rFonts w:ascii="Times New Roman" w:eastAsia="標楷體" w:hAnsi="Times New Roman" w:hint="eastAsia"/>
          <w:sz w:val="28"/>
          <w:szCs w:val="28"/>
        </w:rPr>
        <w:t>顯著增加，</w:t>
      </w:r>
      <w:r w:rsidR="00DA27AB" w:rsidRPr="00AE19BF">
        <w:rPr>
          <w:rFonts w:ascii="Times New Roman" w:eastAsia="標楷體" w:hAnsi="Times New Roman" w:hint="eastAsia"/>
          <w:sz w:val="28"/>
          <w:szCs w:val="28"/>
        </w:rPr>
        <w:t>企業</w:t>
      </w:r>
      <w:r w:rsidRPr="00AE19BF">
        <w:rPr>
          <w:rFonts w:ascii="Times New Roman" w:eastAsia="標楷體" w:hAnsi="Times New Roman" w:hint="eastAsia"/>
          <w:sz w:val="28"/>
          <w:szCs w:val="28"/>
        </w:rPr>
        <w:t>僅需</w:t>
      </w:r>
      <w:r w:rsidR="00DA27AB" w:rsidRPr="00AE19BF">
        <w:rPr>
          <w:rFonts w:ascii="Times New Roman" w:eastAsia="標楷體" w:hAnsi="Times New Roman" w:hint="eastAsia"/>
          <w:sz w:val="28"/>
          <w:szCs w:val="28"/>
        </w:rPr>
        <w:t>依第</w:t>
      </w:r>
      <w:r w:rsidR="00DA27AB" w:rsidRPr="00AE19BF">
        <w:rPr>
          <w:rFonts w:ascii="Times New Roman" w:eastAsia="標楷體" w:hAnsi="Times New Roman" w:hint="eastAsia"/>
          <w:sz w:val="28"/>
          <w:szCs w:val="28"/>
        </w:rPr>
        <w:t>5.5.5</w:t>
      </w:r>
      <w:r w:rsidR="00DA27AB" w:rsidRPr="00AE19BF">
        <w:rPr>
          <w:rFonts w:ascii="Times New Roman" w:eastAsia="標楷體" w:hAnsi="Times New Roman" w:hint="eastAsia"/>
          <w:sz w:val="28"/>
          <w:szCs w:val="28"/>
        </w:rPr>
        <w:t>段</w:t>
      </w:r>
      <w:r w:rsidRPr="00AE19BF">
        <w:rPr>
          <w:rFonts w:ascii="Times New Roman" w:eastAsia="標楷體" w:hAnsi="Times New Roman" w:hint="eastAsia"/>
          <w:sz w:val="28"/>
          <w:szCs w:val="28"/>
        </w:rPr>
        <w:t>計算未來</w:t>
      </w:r>
      <w:r w:rsidRPr="00AE19BF">
        <w:rPr>
          <w:rFonts w:ascii="Times New Roman" w:eastAsia="標楷體" w:hAnsi="Times New Roman" w:hint="eastAsia"/>
          <w:sz w:val="28"/>
          <w:szCs w:val="28"/>
        </w:rPr>
        <w:t>12</w:t>
      </w:r>
      <w:r w:rsidRPr="00AE19BF">
        <w:rPr>
          <w:rFonts w:ascii="Times New Roman" w:eastAsia="標楷體" w:hAnsi="Times New Roman" w:hint="eastAsia"/>
          <w:sz w:val="28"/>
          <w:szCs w:val="28"/>
        </w:rPr>
        <w:t>個月預期信用損失</w:t>
      </w:r>
      <w:r w:rsidR="00DA27AB" w:rsidRPr="00AE19BF">
        <w:rPr>
          <w:rFonts w:ascii="Times New Roman" w:eastAsia="標楷體" w:hAnsi="Times New Roman" w:hint="eastAsia"/>
          <w:sz w:val="28"/>
          <w:szCs w:val="28"/>
        </w:rPr>
        <w:t>金額衡量備抵損失</w:t>
      </w:r>
      <w:r w:rsidR="00A61C44" w:rsidRPr="00AE19BF">
        <w:rPr>
          <w:rFonts w:ascii="Times New Roman" w:eastAsia="標楷體" w:hAnsi="Times New Roman" w:hint="eastAsia"/>
          <w:sz w:val="28"/>
          <w:szCs w:val="28"/>
        </w:rPr>
        <w:t>。</w:t>
      </w:r>
      <w:r w:rsidR="00C17A27" w:rsidRPr="00AE19BF">
        <w:rPr>
          <w:rFonts w:ascii="Times New Roman" w:eastAsia="標楷體" w:hAnsi="Times New Roman" w:hint="eastAsia"/>
          <w:sz w:val="28"/>
          <w:szCs w:val="28"/>
        </w:rPr>
        <w:t>然</w:t>
      </w:r>
      <w:r w:rsidR="00A61C44" w:rsidRPr="00AE19BF">
        <w:rPr>
          <w:rFonts w:ascii="Times New Roman" w:eastAsia="標楷體" w:hAnsi="Times New Roman" w:hint="eastAsia"/>
          <w:sz w:val="28"/>
          <w:szCs w:val="28"/>
        </w:rPr>
        <w:t>而，</w:t>
      </w:r>
      <w:r w:rsidR="00C17A27" w:rsidRPr="00AE19BF">
        <w:rPr>
          <w:rFonts w:ascii="Times New Roman" w:eastAsia="標楷體" w:hAnsi="Times New Roman" w:hint="eastAsia"/>
          <w:sz w:val="28"/>
          <w:szCs w:val="28"/>
        </w:rPr>
        <w:t>若債務工具評等</w:t>
      </w:r>
      <w:r w:rsidR="00DA27AB" w:rsidRPr="00AE19BF">
        <w:rPr>
          <w:rFonts w:ascii="Times New Roman" w:eastAsia="標楷體" w:hAnsi="Times New Roman" w:hint="eastAsia"/>
          <w:sz w:val="28"/>
          <w:szCs w:val="28"/>
        </w:rPr>
        <w:t>資訊</w:t>
      </w:r>
      <w:r w:rsidR="00C17A27" w:rsidRPr="00AE19BF">
        <w:rPr>
          <w:rFonts w:ascii="Times New Roman" w:eastAsia="標楷體" w:hAnsi="Times New Roman" w:hint="eastAsia"/>
          <w:sz w:val="28"/>
          <w:szCs w:val="28"/>
        </w:rPr>
        <w:t>原屬非投資等級者</w:t>
      </w:r>
      <w:r w:rsidR="00A61C44" w:rsidRPr="00AE19BF">
        <w:rPr>
          <w:rFonts w:ascii="Times New Roman" w:eastAsia="標楷體" w:hAnsi="Times New Roman" w:hint="eastAsia"/>
          <w:sz w:val="28"/>
          <w:szCs w:val="28"/>
        </w:rPr>
        <w:t>或該工具不再符合低信用風險之要求</w:t>
      </w:r>
      <w:r w:rsidR="00C17A27" w:rsidRPr="00AE19BF">
        <w:rPr>
          <w:rFonts w:ascii="Times New Roman" w:eastAsia="標楷體" w:hAnsi="Times New Roman" w:hint="eastAsia"/>
          <w:sz w:val="28"/>
          <w:szCs w:val="28"/>
        </w:rPr>
        <w:t>，則企業</w:t>
      </w:r>
      <w:r w:rsidR="00892280" w:rsidRPr="00AE19BF">
        <w:rPr>
          <w:rFonts w:ascii="Times New Roman" w:eastAsia="標楷體" w:hAnsi="Times New Roman" w:hint="eastAsia"/>
          <w:sz w:val="28"/>
          <w:szCs w:val="28"/>
        </w:rPr>
        <w:t>需評估</w:t>
      </w:r>
      <w:r w:rsidR="00C17A27" w:rsidRPr="00AE19BF">
        <w:rPr>
          <w:rFonts w:ascii="Times New Roman" w:eastAsia="標楷體" w:hAnsi="Times New Roman" w:hint="eastAsia"/>
          <w:sz w:val="28"/>
          <w:szCs w:val="28"/>
        </w:rPr>
        <w:t>信用風險變動是否已顯著增加</w:t>
      </w:r>
      <w:r w:rsidR="00A61C44" w:rsidRPr="00AE19BF">
        <w:rPr>
          <w:rFonts w:ascii="Times New Roman" w:eastAsia="標楷體" w:hAnsi="Times New Roman" w:hint="eastAsia"/>
          <w:sz w:val="28"/>
          <w:szCs w:val="28"/>
        </w:rPr>
        <w:t>，以</w:t>
      </w:r>
      <w:r w:rsidR="00892280" w:rsidRPr="00AE19BF">
        <w:rPr>
          <w:rFonts w:ascii="Times New Roman" w:eastAsia="標楷體" w:hAnsi="Times New Roman" w:hint="eastAsia"/>
          <w:sz w:val="28"/>
          <w:szCs w:val="28"/>
        </w:rPr>
        <w:t>判定是否依第</w:t>
      </w:r>
      <w:r w:rsidR="00892280" w:rsidRPr="00AE19BF">
        <w:rPr>
          <w:rFonts w:ascii="Times New Roman" w:eastAsia="標楷體" w:hAnsi="Times New Roman" w:hint="eastAsia"/>
          <w:sz w:val="28"/>
          <w:szCs w:val="28"/>
        </w:rPr>
        <w:t>5.5.3</w:t>
      </w:r>
      <w:r w:rsidR="00892280" w:rsidRPr="00AE19BF">
        <w:rPr>
          <w:rFonts w:ascii="Times New Roman" w:eastAsia="標楷體" w:hAnsi="Times New Roman" w:hint="eastAsia"/>
          <w:sz w:val="28"/>
          <w:szCs w:val="28"/>
        </w:rPr>
        <w:t>段計算存續期間預期信用損失金額衡量該工具之備抵損失</w:t>
      </w:r>
      <w:r w:rsidR="0006115A">
        <w:rPr>
          <w:rFonts w:ascii="Times New Roman" w:eastAsia="標楷體" w:hAnsi="Times New Roman" w:hint="eastAsia"/>
          <w:sz w:val="28"/>
          <w:szCs w:val="28"/>
        </w:rPr>
        <w:t>，</w:t>
      </w:r>
      <w:r w:rsidR="0006115A">
        <w:rPr>
          <w:rFonts w:ascii="Times New Roman" w:eastAsia="標楷體" w:hAnsi="Times New Roman" w:hint="eastAsia"/>
          <w:sz w:val="28"/>
          <w:szCs w:val="28"/>
        </w:rPr>
        <w:t>IFRS 9</w:t>
      </w:r>
      <w:proofErr w:type="gramStart"/>
      <w:r w:rsidR="0006115A">
        <w:rPr>
          <w:rFonts w:ascii="Times New Roman" w:eastAsia="標楷體" w:hAnsi="Times New Roman" w:hint="eastAsia"/>
          <w:sz w:val="28"/>
          <w:szCs w:val="28"/>
        </w:rPr>
        <w:t>於釋例</w:t>
      </w:r>
      <w:proofErr w:type="gramEnd"/>
      <w:r w:rsidR="0006115A">
        <w:rPr>
          <w:rFonts w:ascii="Times New Roman" w:eastAsia="標楷體" w:hAnsi="Times New Roman" w:hint="eastAsia"/>
          <w:sz w:val="28"/>
          <w:szCs w:val="28"/>
        </w:rPr>
        <w:t>4</w:t>
      </w:r>
      <w:r w:rsidR="0006115A">
        <w:rPr>
          <w:rFonts w:ascii="Times New Roman" w:eastAsia="標楷體" w:hAnsi="Times New Roman" w:hint="eastAsia"/>
          <w:sz w:val="28"/>
          <w:szCs w:val="28"/>
        </w:rPr>
        <w:t>第</w:t>
      </w:r>
      <w:r w:rsidR="0006115A">
        <w:rPr>
          <w:rFonts w:ascii="Times New Roman" w:eastAsia="標楷體" w:hAnsi="Times New Roman" w:hint="eastAsia"/>
          <w:sz w:val="28"/>
          <w:szCs w:val="28"/>
        </w:rPr>
        <w:t>IE24</w:t>
      </w:r>
      <w:r w:rsidR="0006115A">
        <w:rPr>
          <w:rFonts w:ascii="Times New Roman" w:eastAsia="標楷體" w:hAnsi="Times New Roman" w:hint="eastAsia"/>
          <w:sz w:val="28"/>
          <w:szCs w:val="28"/>
        </w:rPr>
        <w:t>至</w:t>
      </w:r>
      <w:r w:rsidR="0006115A">
        <w:rPr>
          <w:rFonts w:ascii="Times New Roman" w:eastAsia="標楷體" w:hAnsi="Times New Roman" w:hint="eastAsia"/>
          <w:sz w:val="28"/>
          <w:szCs w:val="28"/>
        </w:rPr>
        <w:t>IE28</w:t>
      </w:r>
      <w:r w:rsidR="0006115A">
        <w:rPr>
          <w:rFonts w:ascii="Times New Roman" w:eastAsia="標楷體" w:hAnsi="Times New Roman" w:hint="eastAsia"/>
          <w:sz w:val="28"/>
          <w:szCs w:val="28"/>
        </w:rPr>
        <w:t>段提供</w:t>
      </w:r>
      <w:r w:rsidR="00A12DFF">
        <w:rPr>
          <w:rFonts w:ascii="Times New Roman" w:eastAsia="標楷體" w:hAnsi="Times New Roman" w:hint="eastAsia"/>
          <w:sz w:val="28"/>
          <w:szCs w:val="28"/>
        </w:rPr>
        <w:t>相關應用指引</w:t>
      </w:r>
      <w:r w:rsidR="0006115A">
        <w:rPr>
          <w:rFonts w:ascii="Times New Roman" w:eastAsia="標楷體" w:hAnsi="Times New Roman" w:hint="eastAsia"/>
          <w:sz w:val="28"/>
          <w:szCs w:val="28"/>
        </w:rPr>
        <w:t>。</w:t>
      </w:r>
    </w:p>
    <w:p w:rsidR="009C4165" w:rsidRPr="00AE19BF" w:rsidRDefault="009C4165" w:rsidP="00F248E8">
      <w:pPr>
        <w:overflowPunct w:val="0"/>
        <w:spacing w:afterLines="50" w:line="500" w:lineRule="exact"/>
        <w:ind w:left="1202"/>
        <w:jc w:val="both"/>
        <w:rPr>
          <w:rFonts w:ascii="Times New Roman" w:eastAsia="標楷體" w:hAnsi="Times New Roman" w:cs="Times New Roman"/>
          <w:color w:val="000000" w:themeColor="text1"/>
          <w:sz w:val="28"/>
          <w:szCs w:val="28"/>
        </w:rPr>
      </w:pPr>
      <w:r w:rsidRPr="00AE19BF">
        <w:rPr>
          <w:rFonts w:ascii="Times New Roman" w:eastAsia="標楷體" w:hAnsi="Times New Roman" w:hint="eastAsia"/>
          <w:sz w:val="28"/>
          <w:szCs w:val="28"/>
        </w:rPr>
        <w:t>債務工具</w:t>
      </w:r>
      <w:r w:rsidR="00EF2EA0" w:rsidRPr="00AE19BF">
        <w:rPr>
          <w:rFonts w:ascii="Times New Roman" w:eastAsia="標楷體" w:hAnsi="Times New Roman" w:hint="eastAsia"/>
          <w:sz w:val="28"/>
          <w:szCs w:val="28"/>
        </w:rPr>
        <w:t>若</w:t>
      </w:r>
      <w:r w:rsidRPr="00AE19BF">
        <w:rPr>
          <w:rFonts w:ascii="Times New Roman" w:eastAsia="標楷體" w:hAnsi="Times New Roman" w:hint="eastAsia"/>
          <w:sz w:val="28"/>
          <w:szCs w:val="28"/>
        </w:rPr>
        <w:t>無外部信用評等者，需內部進行信用風險評估，</w:t>
      </w:r>
      <w:r w:rsidR="008F27C4">
        <w:rPr>
          <w:rFonts w:ascii="Times New Roman" w:eastAsia="標楷體" w:hAnsi="Times New Roman" w:hint="eastAsia"/>
          <w:sz w:val="28"/>
          <w:szCs w:val="28"/>
        </w:rPr>
        <w:t>參</w:t>
      </w:r>
      <w:r w:rsidR="00193960">
        <w:rPr>
          <w:rFonts w:ascii="Times New Roman" w:eastAsia="標楷體" w:hAnsi="Times New Roman" w:hint="eastAsia"/>
          <w:sz w:val="28"/>
          <w:szCs w:val="28"/>
        </w:rPr>
        <w:t>照</w:t>
      </w:r>
      <w:r w:rsidR="00815A9A">
        <w:rPr>
          <w:rFonts w:ascii="Times New Roman" w:eastAsia="標楷體" w:hAnsi="Times New Roman" w:hint="eastAsia"/>
          <w:sz w:val="28"/>
          <w:szCs w:val="28"/>
        </w:rPr>
        <w:t>第</w:t>
      </w:r>
      <w:r w:rsidR="00815A9A">
        <w:rPr>
          <w:rFonts w:ascii="Times New Roman" w:eastAsia="標楷體" w:hAnsi="Times New Roman" w:hint="eastAsia"/>
          <w:sz w:val="28"/>
          <w:szCs w:val="28"/>
        </w:rPr>
        <w:t>B5.5.17</w:t>
      </w:r>
      <w:r w:rsidR="00815A9A">
        <w:rPr>
          <w:rFonts w:ascii="Times New Roman" w:eastAsia="標楷體" w:hAnsi="Times New Roman" w:hint="eastAsia"/>
          <w:sz w:val="28"/>
          <w:szCs w:val="28"/>
        </w:rPr>
        <w:t>段</w:t>
      </w:r>
      <w:r w:rsidRPr="00AE19BF">
        <w:rPr>
          <w:rFonts w:ascii="Times New Roman" w:eastAsia="標楷體" w:hAnsi="Times New Roman" w:hint="eastAsia"/>
          <w:sz w:val="28"/>
          <w:szCs w:val="28"/>
        </w:rPr>
        <w:t>其評估</w:t>
      </w:r>
      <w:proofErr w:type="gramStart"/>
      <w:r w:rsidRPr="00AE19BF">
        <w:rPr>
          <w:rFonts w:ascii="Times New Roman" w:eastAsia="標楷體" w:hAnsi="Times New Roman" w:cs="Times New Roman" w:hint="eastAsia"/>
          <w:color w:val="000000" w:themeColor="text1"/>
          <w:sz w:val="28"/>
          <w:szCs w:val="28"/>
        </w:rPr>
        <w:t>攸</w:t>
      </w:r>
      <w:proofErr w:type="gramEnd"/>
      <w:r w:rsidRPr="00AE19BF">
        <w:rPr>
          <w:rFonts w:ascii="Times New Roman" w:eastAsia="標楷體" w:hAnsi="Times New Roman" w:cs="Times New Roman" w:hint="eastAsia"/>
          <w:color w:val="000000" w:themeColor="text1"/>
          <w:sz w:val="28"/>
          <w:szCs w:val="28"/>
        </w:rPr>
        <w:t>關因素或指標</w:t>
      </w:r>
      <w:r w:rsidR="00506DBD">
        <w:rPr>
          <w:rFonts w:ascii="Times New Roman" w:eastAsia="標楷體" w:hAnsi="Times New Roman" w:cs="Times New Roman" w:hint="eastAsia"/>
          <w:color w:val="000000" w:themeColor="text1"/>
          <w:sz w:val="28"/>
          <w:szCs w:val="28"/>
        </w:rPr>
        <w:t>舉例</w:t>
      </w:r>
      <w:r w:rsidRPr="00AE19BF">
        <w:rPr>
          <w:rFonts w:ascii="Times New Roman" w:eastAsia="標楷體" w:hAnsi="Times New Roman" w:cs="Times New Roman" w:hint="eastAsia"/>
          <w:color w:val="000000" w:themeColor="text1"/>
          <w:sz w:val="28"/>
          <w:szCs w:val="28"/>
        </w:rPr>
        <w:t>如下</w:t>
      </w:r>
      <w:r w:rsidRPr="00AE19BF">
        <w:rPr>
          <w:rFonts w:ascii="Times New Roman" w:eastAsia="標楷體" w:hAnsi="Times New Roman" w:cs="Times New Roman"/>
          <w:color w:val="000000" w:themeColor="text1"/>
          <w:sz w:val="28"/>
          <w:szCs w:val="28"/>
        </w:rPr>
        <w:t>(</w:t>
      </w:r>
      <w:r w:rsidRPr="00AE19BF">
        <w:rPr>
          <w:rFonts w:ascii="Times New Roman" w:eastAsia="標楷體" w:hAnsi="Times New Roman" w:cs="Times New Roman" w:hint="eastAsia"/>
          <w:color w:val="000000" w:themeColor="text1"/>
          <w:sz w:val="28"/>
          <w:szCs w:val="28"/>
        </w:rPr>
        <w:t>不限於</w:t>
      </w:r>
      <w:r w:rsidRPr="00AE19BF">
        <w:rPr>
          <w:rFonts w:ascii="Times New Roman" w:eastAsia="標楷體" w:hAnsi="Times New Roman" w:cs="Times New Roman"/>
          <w:color w:val="000000" w:themeColor="text1"/>
          <w:sz w:val="28"/>
          <w:szCs w:val="28"/>
        </w:rPr>
        <w:t>)</w:t>
      </w:r>
      <w:r w:rsidRPr="00AE19BF">
        <w:rPr>
          <w:rFonts w:ascii="Times New Roman" w:eastAsia="標楷體" w:hAnsi="Times New Roman" w:cs="Times New Roman" w:hint="eastAsia"/>
          <w:color w:val="000000" w:themeColor="text1"/>
          <w:sz w:val="28"/>
          <w:szCs w:val="28"/>
        </w:rPr>
        <w:t>：</w:t>
      </w:r>
    </w:p>
    <w:p w:rsidR="009C4165" w:rsidRPr="008F27C4" w:rsidRDefault="009C4165" w:rsidP="00F248E8">
      <w:pPr>
        <w:pStyle w:val="a4"/>
        <w:numPr>
          <w:ilvl w:val="0"/>
          <w:numId w:val="25"/>
        </w:numPr>
        <w:spacing w:afterLines="50" w:line="500" w:lineRule="exact"/>
        <w:ind w:leftChars="0"/>
        <w:jc w:val="both"/>
        <w:rPr>
          <w:rFonts w:ascii="Times New Roman" w:eastAsia="標楷體" w:hAnsi="Times New Roman"/>
          <w:sz w:val="28"/>
          <w:szCs w:val="28"/>
        </w:rPr>
      </w:pPr>
      <w:r w:rsidRPr="00AE19BF">
        <w:rPr>
          <w:rFonts w:ascii="Times New Roman" w:eastAsia="標楷體" w:hAnsi="Times New Roman" w:cs="Times New Roman" w:hint="eastAsia"/>
          <w:sz w:val="28"/>
          <w:szCs w:val="28"/>
        </w:rPr>
        <w:t>自</w:t>
      </w:r>
      <w:r w:rsidR="002C030C" w:rsidRPr="00AE19BF">
        <w:rPr>
          <w:rFonts w:ascii="Times New Roman" w:eastAsia="標楷體" w:hAnsi="Times New Roman" w:cs="Times New Roman" w:hint="eastAsia"/>
          <w:sz w:val="28"/>
          <w:szCs w:val="28"/>
        </w:rPr>
        <w:t>原始認列</w:t>
      </w:r>
      <w:r w:rsidRPr="00AE19BF">
        <w:rPr>
          <w:rFonts w:ascii="Times New Roman" w:eastAsia="標楷體" w:hAnsi="Times New Roman" w:cs="Times New Roman" w:hint="eastAsia"/>
          <w:sz w:val="28"/>
          <w:szCs w:val="28"/>
        </w:rPr>
        <w:t>後信用風險變動所導致信用風險之內部價格指標之顯著變動，包括</w:t>
      </w:r>
      <w:r w:rsidRPr="00AE19BF">
        <w:rPr>
          <w:rFonts w:ascii="Times New Roman" w:eastAsia="標楷體" w:hAnsi="Times New Roman" w:cs="Times New Roman"/>
          <w:sz w:val="28"/>
          <w:szCs w:val="28"/>
        </w:rPr>
        <w:t>(</w:t>
      </w:r>
      <w:r w:rsidRPr="00AE19BF">
        <w:rPr>
          <w:rFonts w:ascii="Times New Roman" w:eastAsia="標楷體" w:hAnsi="Times New Roman" w:cs="Times New Roman" w:hint="eastAsia"/>
          <w:sz w:val="28"/>
          <w:szCs w:val="28"/>
        </w:rPr>
        <w:t>但不限於</w:t>
      </w:r>
      <w:r w:rsidRPr="00AE19BF">
        <w:rPr>
          <w:rFonts w:ascii="Times New Roman" w:eastAsia="標楷體" w:hAnsi="Times New Roman" w:cs="Times New Roman"/>
          <w:sz w:val="28"/>
          <w:szCs w:val="28"/>
        </w:rPr>
        <w:t>)</w:t>
      </w:r>
      <w:r w:rsidRPr="00AE19BF">
        <w:rPr>
          <w:rFonts w:ascii="Times New Roman" w:eastAsia="標楷體" w:hAnsi="Times New Roman" w:cs="Times New Roman" w:hint="eastAsia"/>
          <w:sz w:val="28"/>
          <w:szCs w:val="28"/>
        </w:rPr>
        <w:t>若於報導日新創始或發行具有相同條款且相同交易對方之某特定金融工具或類似金融工具所產生之信用價差。</w:t>
      </w:r>
    </w:p>
    <w:p w:rsidR="008F27C4" w:rsidRPr="008F27C4" w:rsidRDefault="008F27C4" w:rsidP="00F248E8">
      <w:pPr>
        <w:pStyle w:val="a4"/>
        <w:numPr>
          <w:ilvl w:val="0"/>
          <w:numId w:val="25"/>
        </w:numPr>
        <w:spacing w:afterLines="50" w:line="5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具有相同</w:t>
      </w:r>
      <w:r w:rsidRPr="008F27C4">
        <w:rPr>
          <w:rFonts w:ascii="Times New Roman" w:eastAsia="標楷體" w:hAnsi="Times New Roman" w:hint="eastAsia"/>
          <w:sz w:val="28"/>
          <w:szCs w:val="28"/>
        </w:rPr>
        <w:t>預期存續期間之</w:t>
      </w:r>
      <w:r w:rsidRPr="008F27C4">
        <w:rPr>
          <w:rFonts w:ascii="Times New Roman" w:eastAsia="標楷體" w:hAnsi="Times New Roman" w:cs="Times New Roman" w:hint="eastAsia"/>
          <w:sz w:val="28"/>
          <w:szCs w:val="28"/>
        </w:rPr>
        <w:t>特定金融工具或類似金融工具之信用風險之外部市場指標之顯著變動。信用風險之市場指標變動包括（但不限於）：</w:t>
      </w:r>
    </w:p>
    <w:p w:rsidR="008F27C4" w:rsidRPr="008F27C4" w:rsidRDefault="008F27C4" w:rsidP="00F248E8">
      <w:pPr>
        <w:pStyle w:val="a4"/>
        <w:numPr>
          <w:ilvl w:val="0"/>
          <w:numId w:val="12"/>
        </w:numPr>
        <w:spacing w:afterLines="50" w:line="500" w:lineRule="exact"/>
        <w:ind w:leftChars="0"/>
        <w:jc w:val="both"/>
        <w:rPr>
          <w:rFonts w:ascii="Times New Roman" w:eastAsia="標楷體" w:hAnsi="Times New Roman" w:cs="Times New Roman"/>
          <w:sz w:val="28"/>
          <w:szCs w:val="28"/>
        </w:rPr>
      </w:pPr>
      <w:r w:rsidRPr="008F27C4">
        <w:rPr>
          <w:rFonts w:ascii="Times New Roman" w:eastAsia="標楷體" w:hAnsi="Times New Roman" w:cs="Times New Roman" w:hint="eastAsia"/>
          <w:sz w:val="28"/>
          <w:szCs w:val="28"/>
        </w:rPr>
        <w:lastRenderedPageBreak/>
        <w:t>信用價差；</w:t>
      </w:r>
    </w:p>
    <w:p w:rsidR="008F27C4" w:rsidRPr="00AE19BF" w:rsidRDefault="008F27C4" w:rsidP="00F248E8">
      <w:pPr>
        <w:pStyle w:val="a4"/>
        <w:numPr>
          <w:ilvl w:val="0"/>
          <w:numId w:val="12"/>
        </w:numPr>
        <w:spacing w:afterLines="50" w:line="500" w:lineRule="exact"/>
        <w:ind w:leftChars="0"/>
        <w:jc w:val="both"/>
        <w:rPr>
          <w:rFonts w:ascii="Times New Roman" w:eastAsia="標楷體" w:hAnsi="Times New Roman" w:cs="Times New Roman"/>
          <w:sz w:val="28"/>
          <w:szCs w:val="28"/>
        </w:rPr>
      </w:pPr>
      <w:r w:rsidRPr="00AE19BF">
        <w:rPr>
          <w:rFonts w:ascii="Times New Roman" w:eastAsia="標楷體" w:hAnsi="Times New Roman" w:cs="Times New Roman" w:hint="eastAsia"/>
          <w:sz w:val="28"/>
          <w:szCs w:val="28"/>
        </w:rPr>
        <w:t>借款人信用違約交換之價格；</w:t>
      </w:r>
    </w:p>
    <w:p w:rsidR="008F27C4" w:rsidRPr="008F27C4" w:rsidRDefault="008F27C4" w:rsidP="00F248E8">
      <w:pPr>
        <w:pStyle w:val="a4"/>
        <w:numPr>
          <w:ilvl w:val="0"/>
          <w:numId w:val="12"/>
        </w:numPr>
        <w:spacing w:afterLines="50" w:line="500" w:lineRule="exact"/>
        <w:ind w:leftChars="0"/>
        <w:jc w:val="both"/>
        <w:rPr>
          <w:rFonts w:ascii="Times New Roman" w:eastAsia="標楷體" w:hAnsi="Times New Roman" w:cs="Times New Roman"/>
          <w:sz w:val="28"/>
          <w:szCs w:val="28"/>
        </w:rPr>
      </w:pPr>
      <w:r w:rsidRPr="00AE19BF">
        <w:rPr>
          <w:rFonts w:ascii="Times New Roman" w:eastAsia="標楷體" w:hAnsi="Times New Roman" w:cs="Times New Roman" w:hint="eastAsia"/>
          <w:sz w:val="28"/>
          <w:szCs w:val="28"/>
        </w:rPr>
        <w:t>金融資產之公允價值低於其</w:t>
      </w:r>
      <w:proofErr w:type="gramStart"/>
      <w:r w:rsidRPr="00AE19BF">
        <w:rPr>
          <w:rFonts w:ascii="Times New Roman" w:eastAsia="標楷體" w:hAnsi="Times New Roman" w:cs="Times New Roman" w:hint="eastAsia"/>
          <w:sz w:val="28"/>
          <w:szCs w:val="28"/>
        </w:rPr>
        <w:t>攤銷後成本</w:t>
      </w:r>
      <w:proofErr w:type="gramEnd"/>
      <w:r w:rsidRPr="00AE19BF">
        <w:rPr>
          <w:rFonts w:ascii="Times New Roman" w:eastAsia="標楷體" w:hAnsi="Times New Roman" w:cs="Times New Roman" w:hint="eastAsia"/>
          <w:sz w:val="28"/>
          <w:szCs w:val="28"/>
        </w:rPr>
        <w:t>之時間長短或程度；及</w:t>
      </w:r>
    </w:p>
    <w:p w:rsidR="0095135B" w:rsidRPr="006A2933" w:rsidRDefault="006A2933" w:rsidP="00F248E8">
      <w:pPr>
        <w:pStyle w:val="a4"/>
        <w:numPr>
          <w:ilvl w:val="0"/>
          <w:numId w:val="12"/>
        </w:numPr>
        <w:spacing w:afterLines="50" w:line="500" w:lineRule="exact"/>
        <w:ind w:leftChars="0"/>
        <w:jc w:val="both"/>
        <w:rPr>
          <w:rFonts w:ascii="Times New Roman" w:eastAsia="標楷體" w:hAnsi="Times New Roman" w:cs="Times New Roman"/>
          <w:sz w:val="28"/>
          <w:szCs w:val="28"/>
        </w:rPr>
      </w:pPr>
      <w:r w:rsidRPr="00FC6B5A">
        <w:rPr>
          <w:rFonts w:ascii="Times New Roman" w:eastAsia="標楷體" w:hAnsi="Times New Roman" w:cs="Times New Roman" w:hint="eastAsia"/>
          <w:sz w:val="28"/>
          <w:szCs w:val="28"/>
        </w:rPr>
        <w:t>與借款人有關之其他市場資訊，例如借款人之債務及權益工具之價格變動。</w:t>
      </w:r>
    </w:p>
    <w:p w:rsidR="00C17A27" w:rsidRPr="00AE19BF" w:rsidRDefault="00C17A27" w:rsidP="00F248E8">
      <w:pPr>
        <w:spacing w:afterLines="50" w:line="500" w:lineRule="exact"/>
        <w:ind w:left="1200"/>
        <w:jc w:val="both"/>
        <w:rPr>
          <w:rFonts w:ascii="Times New Roman" w:eastAsia="標楷體" w:hAnsi="Times New Roman" w:cs="Times New Roman"/>
          <w:color w:val="000000" w:themeColor="text1"/>
          <w:sz w:val="28"/>
          <w:szCs w:val="28"/>
        </w:rPr>
      </w:pPr>
      <w:r w:rsidRPr="00AE19BF">
        <w:rPr>
          <w:rFonts w:ascii="Times New Roman" w:eastAsia="標楷體" w:hAnsi="Times New Roman" w:cs="Times New Roman" w:hint="eastAsia"/>
          <w:color w:val="000000" w:themeColor="text1"/>
          <w:sz w:val="28"/>
          <w:szCs w:val="28"/>
        </w:rPr>
        <w:t>企業考量債務工具信用風險變動程度應與所評估特定金融工具</w:t>
      </w:r>
      <w:proofErr w:type="gramStart"/>
      <w:r w:rsidRPr="00AE19BF">
        <w:rPr>
          <w:rFonts w:ascii="Times New Roman" w:eastAsia="標楷體" w:hAnsi="Times New Roman" w:cs="Times New Roman" w:hint="eastAsia"/>
          <w:color w:val="000000" w:themeColor="text1"/>
          <w:sz w:val="28"/>
          <w:szCs w:val="28"/>
        </w:rPr>
        <w:t>攸</w:t>
      </w:r>
      <w:proofErr w:type="gramEnd"/>
      <w:r w:rsidRPr="00AE19BF">
        <w:rPr>
          <w:rFonts w:ascii="Times New Roman" w:eastAsia="標楷體" w:hAnsi="Times New Roman" w:cs="Times New Roman" w:hint="eastAsia"/>
          <w:color w:val="000000" w:themeColor="text1"/>
          <w:sz w:val="28"/>
          <w:szCs w:val="28"/>
        </w:rPr>
        <w:t>關之合理且可佐證之資訊（無需過度成本或投入即可取得者）。</w:t>
      </w:r>
      <w:proofErr w:type="gramStart"/>
      <w:r w:rsidRPr="00AE19BF">
        <w:rPr>
          <w:rFonts w:ascii="Times New Roman" w:eastAsia="標楷體" w:hAnsi="Times New Roman" w:cs="Times New Roman" w:hint="eastAsia"/>
          <w:color w:val="000000" w:themeColor="text1"/>
          <w:sz w:val="28"/>
          <w:szCs w:val="28"/>
        </w:rPr>
        <w:t>惟</w:t>
      </w:r>
      <w:proofErr w:type="gramEnd"/>
      <w:r w:rsidRPr="00AE19BF">
        <w:rPr>
          <w:rFonts w:ascii="Times New Roman" w:eastAsia="標楷體" w:hAnsi="Times New Roman" w:cs="Times New Roman" w:hint="eastAsia"/>
          <w:color w:val="000000" w:themeColor="text1"/>
          <w:sz w:val="28"/>
          <w:szCs w:val="28"/>
        </w:rPr>
        <w:t>某些因素或指標可能無法以個別金融工具層級辨認。在此種情況下，</w:t>
      </w:r>
      <w:r w:rsidR="008F27C4">
        <w:rPr>
          <w:rFonts w:ascii="Times New Roman" w:eastAsia="標楷體" w:hAnsi="Times New Roman" w:cs="Times New Roman" w:hint="eastAsia"/>
          <w:color w:val="000000" w:themeColor="text1"/>
          <w:sz w:val="28"/>
          <w:szCs w:val="28"/>
        </w:rPr>
        <w:t>依第</w:t>
      </w:r>
      <w:r w:rsidR="008F27C4">
        <w:rPr>
          <w:rFonts w:ascii="Times New Roman" w:eastAsia="標楷體" w:hAnsi="Times New Roman" w:cs="Times New Roman" w:hint="eastAsia"/>
          <w:color w:val="000000" w:themeColor="text1"/>
          <w:sz w:val="28"/>
          <w:szCs w:val="28"/>
        </w:rPr>
        <w:t>B5.5.16</w:t>
      </w:r>
      <w:r w:rsidR="008F27C4">
        <w:rPr>
          <w:rFonts w:ascii="Times New Roman" w:eastAsia="標楷體" w:hAnsi="Times New Roman" w:cs="Times New Roman" w:hint="eastAsia"/>
          <w:color w:val="000000" w:themeColor="text1"/>
          <w:sz w:val="28"/>
          <w:szCs w:val="28"/>
        </w:rPr>
        <w:t>段</w:t>
      </w:r>
      <w:r w:rsidRPr="00AE19BF">
        <w:rPr>
          <w:rFonts w:ascii="Times New Roman" w:eastAsia="標楷體" w:hAnsi="Times New Roman" w:cs="Times New Roman" w:hint="eastAsia"/>
          <w:color w:val="000000" w:themeColor="text1"/>
          <w:sz w:val="28"/>
          <w:szCs w:val="28"/>
        </w:rPr>
        <w:t>應就金融工具適當之組合、組合之群組或組合之一部分評估該等因素或指標，以判定是否符合第</w:t>
      </w:r>
      <w:r w:rsidRPr="00AE19BF">
        <w:rPr>
          <w:rFonts w:ascii="Times New Roman" w:eastAsia="標楷體" w:hAnsi="Times New Roman" w:cs="Times New Roman"/>
          <w:color w:val="000000" w:themeColor="text1"/>
          <w:sz w:val="28"/>
          <w:szCs w:val="28"/>
        </w:rPr>
        <w:t>5.5.3</w:t>
      </w:r>
      <w:r w:rsidRPr="00AE19BF">
        <w:rPr>
          <w:rFonts w:ascii="Times New Roman" w:eastAsia="標楷體" w:hAnsi="Times New Roman" w:cs="Times New Roman" w:hint="eastAsia"/>
          <w:color w:val="000000" w:themeColor="text1"/>
          <w:sz w:val="28"/>
          <w:szCs w:val="28"/>
        </w:rPr>
        <w:t>段存續期間預期信用損失之認列規定。</w:t>
      </w:r>
    </w:p>
    <w:p w:rsidR="00892280" w:rsidRPr="00AE19BF" w:rsidRDefault="00892280" w:rsidP="00F248E8">
      <w:pPr>
        <w:spacing w:afterLines="50" w:line="500" w:lineRule="exact"/>
        <w:ind w:left="1200"/>
        <w:jc w:val="both"/>
        <w:rPr>
          <w:rFonts w:ascii="Times New Roman" w:eastAsia="標楷體" w:hAnsi="Times New Roman" w:cs="Times New Roman"/>
          <w:color w:val="000000" w:themeColor="text1"/>
          <w:sz w:val="28"/>
          <w:szCs w:val="28"/>
        </w:rPr>
      </w:pPr>
      <w:r w:rsidRPr="00AE19BF">
        <w:rPr>
          <w:rFonts w:ascii="Times New Roman" w:eastAsia="標楷體" w:hAnsi="Times New Roman" w:cs="Times New Roman" w:hint="eastAsia"/>
          <w:color w:val="000000" w:themeColor="text1"/>
          <w:sz w:val="28"/>
          <w:szCs w:val="28"/>
        </w:rPr>
        <w:t>另</w:t>
      </w:r>
      <w:r w:rsidRPr="00AE19BF">
        <w:rPr>
          <w:rFonts w:ascii="Times New Roman" w:eastAsia="標楷體" w:hAnsi="Times New Roman" w:cs="Times New Roman"/>
          <w:color w:val="000000" w:themeColor="text1"/>
          <w:sz w:val="28"/>
          <w:szCs w:val="28"/>
        </w:rPr>
        <w:t>ITG</w:t>
      </w:r>
      <w:r w:rsidRPr="00AE19BF">
        <w:rPr>
          <w:rFonts w:ascii="Times New Roman" w:eastAsia="標楷體" w:hAnsi="Times New Roman" w:cs="Times New Roman" w:hint="eastAsia"/>
          <w:color w:val="000000" w:themeColor="text1"/>
          <w:sz w:val="28"/>
          <w:szCs w:val="28"/>
        </w:rPr>
        <w:t>成員於</w:t>
      </w:r>
      <w:r w:rsidRPr="00AE19BF">
        <w:rPr>
          <w:rFonts w:ascii="Times New Roman" w:eastAsia="標楷體" w:hAnsi="Times New Roman" w:cs="Times New Roman"/>
          <w:color w:val="000000" w:themeColor="text1"/>
          <w:sz w:val="28"/>
          <w:szCs w:val="28"/>
        </w:rPr>
        <w:t>2015</w:t>
      </w:r>
      <w:r w:rsidRPr="00AE19BF">
        <w:rPr>
          <w:rFonts w:ascii="Times New Roman" w:eastAsia="標楷體" w:hAnsi="Times New Roman" w:cs="Times New Roman" w:hint="eastAsia"/>
          <w:color w:val="000000" w:themeColor="text1"/>
          <w:sz w:val="28"/>
          <w:szCs w:val="28"/>
        </w:rPr>
        <w:t>年</w:t>
      </w:r>
      <w:r w:rsidRPr="00AE19BF">
        <w:rPr>
          <w:rFonts w:ascii="Times New Roman" w:eastAsia="標楷體" w:hAnsi="Times New Roman" w:cs="Times New Roman"/>
          <w:color w:val="000000" w:themeColor="text1"/>
          <w:sz w:val="28"/>
          <w:szCs w:val="28"/>
        </w:rPr>
        <w:t>9</w:t>
      </w:r>
      <w:r w:rsidRPr="00AE19BF">
        <w:rPr>
          <w:rFonts w:ascii="Times New Roman" w:eastAsia="標楷體" w:hAnsi="Times New Roman" w:cs="Times New Roman" w:hint="eastAsia"/>
          <w:color w:val="000000" w:themeColor="text1"/>
          <w:sz w:val="28"/>
          <w:szCs w:val="28"/>
        </w:rPr>
        <w:t>月會議中表示如果企業在設計內部評等系統時考量了所有合理且可佐證之資訊，包括前瞻性資訊，並有足夠適時的複核更新評等資訊之機制，以反映預期存續期間內之違約風險，使該評等系統符合</w:t>
      </w:r>
      <w:r w:rsidRPr="00AE19BF">
        <w:rPr>
          <w:rFonts w:ascii="Times New Roman" w:eastAsia="標楷體" w:hAnsi="Times New Roman" w:cs="Times New Roman"/>
          <w:color w:val="000000" w:themeColor="text1"/>
          <w:sz w:val="28"/>
          <w:szCs w:val="28"/>
        </w:rPr>
        <w:t>IFRS 9</w:t>
      </w:r>
      <w:r w:rsidRPr="00AE19BF">
        <w:rPr>
          <w:rFonts w:ascii="Times New Roman" w:eastAsia="標楷體" w:hAnsi="Times New Roman" w:cs="Times New Roman" w:hint="eastAsia"/>
          <w:color w:val="000000" w:themeColor="text1"/>
          <w:sz w:val="28"/>
          <w:szCs w:val="28"/>
        </w:rPr>
        <w:t>對於認列存續期間預期信用損失之要求，那麼將內部風險評等之變動作為評估信用風險是否已顯著增加之依據也許是適當的。</w:t>
      </w:r>
    </w:p>
    <w:p w:rsidR="00AF3391" w:rsidRPr="00AE19BF" w:rsidRDefault="007C6F79" w:rsidP="00F248E8">
      <w:pPr>
        <w:pStyle w:val="a4"/>
        <w:numPr>
          <w:ilvl w:val="0"/>
          <w:numId w:val="26"/>
        </w:numPr>
        <w:spacing w:afterLines="50" w:line="500" w:lineRule="exact"/>
        <w:ind w:leftChars="0"/>
        <w:jc w:val="both"/>
        <w:rPr>
          <w:rFonts w:ascii="Times New Roman" w:eastAsia="標楷體" w:hAnsi="Times New Roman"/>
          <w:sz w:val="28"/>
          <w:szCs w:val="28"/>
        </w:rPr>
      </w:pPr>
      <w:r w:rsidRPr="00AE19BF">
        <w:rPr>
          <w:rFonts w:ascii="Times New Roman" w:eastAsia="標楷體" w:hAnsi="Times New Roman" w:hint="eastAsia"/>
          <w:sz w:val="28"/>
          <w:szCs w:val="28"/>
        </w:rPr>
        <w:t>依</w:t>
      </w:r>
      <w:r w:rsidR="00AF3391" w:rsidRPr="00AE19BF">
        <w:rPr>
          <w:rFonts w:ascii="Times New Roman" w:eastAsia="標楷體" w:hAnsi="Times New Roman"/>
          <w:sz w:val="28"/>
          <w:szCs w:val="28"/>
        </w:rPr>
        <w:t>IFRS 9</w:t>
      </w:r>
      <w:r w:rsidR="00AF3391" w:rsidRPr="00AE19BF">
        <w:rPr>
          <w:rFonts w:ascii="Times New Roman" w:eastAsia="標楷體" w:hAnsi="Times New Roman"/>
          <w:sz w:val="28"/>
          <w:szCs w:val="28"/>
        </w:rPr>
        <w:t>第</w:t>
      </w:r>
      <w:r w:rsidRPr="00AE19BF">
        <w:rPr>
          <w:rFonts w:ascii="Times New Roman" w:eastAsia="標楷體" w:hAnsi="Times New Roman" w:hint="eastAsia"/>
          <w:sz w:val="28"/>
          <w:szCs w:val="28"/>
        </w:rPr>
        <w:t>B</w:t>
      </w:r>
      <w:r w:rsidR="00AF3391" w:rsidRPr="00AE19BF">
        <w:rPr>
          <w:rFonts w:ascii="Times New Roman" w:eastAsia="標楷體" w:hAnsi="Times New Roman"/>
          <w:sz w:val="28"/>
          <w:szCs w:val="28"/>
        </w:rPr>
        <w:t>5.5.28</w:t>
      </w:r>
      <w:r w:rsidR="00AF3391" w:rsidRPr="00AE19BF">
        <w:rPr>
          <w:rFonts w:ascii="Times New Roman" w:eastAsia="標楷體" w:hAnsi="Times New Roman"/>
          <w:sz w:val="28"/>
          <w:szCs w:val="28"/>
        </w:rPr>
        <w:t>至</w:t>
      </w:r>
      <w:r w:rsidRPr="00AE19BF">
        <w:rPr>
          <w:rFonts w:ascii="Times New Roman" w:eastAsia="標楷體" w:hAnsi="Times New Roman" w:hint="eastAsia"/>
          <w:sz w:val="28"/>
          <w:szCs w:val="28"/>
        </w:rPr>
        <w:t>B</w:t>
      </w:r>
      <w:r w:rsidR="00AF3391" w:rsidRPr="00AE19BF">
        <w:rPr>
          <w:rFonts w:ascii="Times New Roman" w:eastAsia="標楷體" w:hAnsi="Times New Roman"/>
          <w:sz w:val="28"/>
          <w:szCs w:val="28"/>
        </w:rPr>
        <w:t>5.5.29</w:t>
      </w:r>
      <w:r w:rsidR="00AF3391" w:rsidRPr="00AE19BF">
        <w:rPr>
          <w:rFonts w:ascii="Times New Roman" w:eastAsia="標楷體" w:hAnsi="Times New Roman"/>
          <w:sz w:val="28"/>
          <w:szCs w:val="28"/>
        </w:rPr>
        <w:t>段</w:t>
      </w:r>
      <w:r w:rsidRPr="00AE19BF">
        <w:rPr>
          <w:rFonts w:ascii="Times New Roman" w:eastAsia="標楷體" w:hAnsi="Times New Roman" w:hint="eastAsia"/>
          <w:sz w:val="28"/>
          <w:szCs w:val="28"/>
        </w:rPr>
        <w:t>，</w:t>
      </w:r>
      <w:r w:rsidR="00AF3391" w:rsidRPr="00AE19BF">
        <w:rPr>
          <w:rFonts w:ascii="Times New Roman" w:eastAsia="標楷體" w:hAnsi="Times New Roman"/>
          <w:sz w:val="28"/>
          <w:szCs w:val="28"/>
        </w:rPr>
        <w:t>金融資產之信用損失即為企業依據合約可收取之合約現金流量與企業預期收取之現金流量間差額之現值。</w:t>
      </w:r>
      <w:r w:rsidR="00AF3391" w:rsidRPr="00AE19BF">
        <w:rPr>
          <w:rFonts w:ascii="Times New Roman" w:eastAsia="標楷體" w:hAnsi="Times New Roman"/>
          <w:sz w:val="28"/>
          <w:szCs w:val="28"/>
        </w:rPr>
        <w:t>IFRS 9</w:t>
      </w:r>
      <w:r w:rsidRPr="00AE19BF">
        <w:rPr>
          <w:rFonts w:ascii="Times New Roman" w:eastAsia="標楷體" w:hAnsi="Times New Roman" w:hint="eastAsia"/>
          <w:sz w:val="28"/>
          <w:szCs w:val="28"/>
        </w:rPr>
        <w:t>並</w:t>
      </w:r>
      <w:r w:rsidR="00AF3391" w:rsidRPr="00AE19BF">
        <w:rPr>
          <w:rFonts w:ascii="Times New Roman" w:eastAsia="標楷體" w:hAnsi="Times New Roman"/>
          <w:sz w:val="28"/>
          <w:szCs w:val="28"/>
        </w:rPr>
        <w:t>未</w:t>
      </w:r>
      <w:r w:rsidRPr="00AE19BF">
        <w:rPr>
          <w:rFonts w:ascii="Times New Roman" w:eastAsia="標楷體" w:hAnsi="Times New Roman" w:hint="eastAsia"/>
          <w:sz w:val="28"/>
          <w:szCs w:val="28"/>
        </w:rPr>
        <w:t>提供</w:t>
      </w:r>
      <w:r w:rsidR="00AF3391" w:rsidRPr="00AE19BF">
        <w:rPr>
          <w:rFonts w:ascii="Times New Roman" w:eastAsia="標楷體" w:hAnsi="Times New Roman"/>
          <w:sz w:val="28"/>
          <w:szCs w:val="28"/>
        </w:rPr>
        <w:t>減損計算公式，本指引</w:t>
      </w:r>
      <w:r w:rsidRPr="00AE19BF">
        <w:rPr>
          <w:rFonts w:ascii="Times New Roman" w:eastAsia="標楷體" w:hAnsi="Times New Roman" w:hint="eastAsia"/>
          <w:sz w:val="28"/>
          <w:szCs w:val="28"/>
        </w:rPr>
        <w:t>係</w:t>
      </w:r>
      <w:r w:rsidR="00AF3391" w:rsidRPr="00AE19BF">
        <w:rPr>
          <w:rFonts w:ascii="Times New Roman" w:eastAsia="標楷體" w:hAnsi="Times New Roman" w:hint="eastAsia"/>
          <w:sz w:val="28"/>
          <w:szCs w:val="28"/>
        </w:rPr>
        <w:t>參照</w:t>
      </w:r>
      <w:r w:rsidR="00AF3391" w:rsidRPr="00AE19BF">
        <w:rPr>
          <w:rFonts w:ascii="Times New Roman" w:eastAsia="標楷體" w:hAnsi="Times New Roman" w:hint="eastAsia"/>
          <w:sz w:val="28"/>
          <w:szCs w:val="28"/>
        </w:rPr>
        <w:t>IFRS 9</w:t>
      </w:r>
      <w:proofErr w:type="gramStart"/>
      <w:r w:rsidR="00AF3391" w:rsidRPr="00AE19BF">
        <w:rPr>
          <w:rFonts w:ascii="Times New Roman" w:eastAsia="標楷體" w:hAnsi="Times New Roman" w:hint="eastAsia"/>
          <w:sz w:val="28"/>
          <w:szCs w:val="28"/>
        </w:rPr>
        <w:t>釋例預期</w:t>
      </w:r>
      <w:proofErr w:type="gramEnd"/>
      <w:r w:rsidR="00AF3391" w:rsidRPr="00AE19BF">
        <w:rPr>
          <w:rFonts w:ascii="Times New Roman" w:eastAsia="標楷體" w:hAnsi="Times New Roman" w:hint="eastAsia"/>
          <w:sz w:val="28"/>
          <w:szCs w:val="28"/>
        </w:rPr>
        <w:t>信用損失</w:t>
      </w:r>
      <w:r w:rsidR="005A1395" w:rsidRPr="00AE19BF">
        <w:rPr>
          <w:rFonts w:ascii="Times New Roman" w:eastAsia="標楷體" w:hAnsi="Times New Roman" w:hint="eastAsia"/>
          <w:sz w:val="28"/>
          <w:szCs w:val="28"/>
        </w:rPr>
        <w:t>(ECL)</w:t>
      </w:r>
      <w:r w:rsidR="00AF3391" w:rsidRPr="00AE19BF">
        <w:rPr>
          <w:rFonts w:ascii="Times New Roman" w:eastAsia="標楷體" w:hAnsi="Times New Roman"/>
          <w:sz w:val="28"/>
          <w:szCs w:val="28"/>
        </w:rPr>
        <w:t>計算公式：</w:t>
      </w:r>
    </w:p>
    <w:p w:rsidR="00A676DE" w:rsidRPr="00193960" w:rsidRDefault="00AF3391" w:rsidP="00F248E8">
      <w:pPr>
        <w:pStyle w:val="a4"/>
        <w:spacing w:afterLines="50" w:line="500" w:lineRule="exact"/>
        <w:ind w:leftChars="0" w:left="1200"/>
        <w:jc w:val="center"/>
        <w:rPr>
          <w:rFonts w:ascii="Times New Roman" w:eastAsia="標楷體" w:hAnsi="Times New Roman" w:cs="Times New Roman"/>
          <w:sz w:val="28"/>
          <w:szCs w:val="28"/>
        </w:rPr>
      </w:pPr>
      <w:r w:rsidRPr="00193960">
        <w:rPr>
          <w:rFonts w:ascii="Times New Roman" w:eastAsia="標楷體" w:hAnsi="Times New Roman" w:cs="Times New Roman" w:hint="eastAsia"/>
          <w:sz w:val="28"/>
          <w:szCs w:val="28"/>
        </w:rPr>
        <w:t>E</w:t>
      </w:r>
      <w:r w:rsidR="005A1395" w:rsidRPr="00193960">
        <w:rPr>
          <w:rFonts w:ascii="Times New Roman" w:eastAsia="標楷體" w:hAnsi="Times New Roman" w:cs="Times New Roman" w:hint="eastAsia"/>
          <w:sz w:val="28"/>
          <w:szCs w:val="28"/>
        </w:rPr>
        <w:t>C</w:t>
      </w:r>
      <w:r w:rsidRPr="00193960">
        <w:rPr>
          <w:rFonts w:ascii="Times New Roman" w:eastAsia="標楷體" w:hAnsi="Times New Roman" w:cs="Times New Roman" w:hint="eastAsia"/>
          <w:sz w:val="28"/>
          <w:szCs w:val="28"/>
        </w:rPr>
        <w:t>L=</w:t>
      </w:r>
      <w:r w:rsidRPr="00193960">
        <w:rPr>
          <w:rFonts w:ascii="Times New Roman" w:eastAsia="標楷體" w:hAnsi="Times New Roman" w:cs="Times New Roman"/>
          <w:sz w:val="28"/>
          <w:szCs w:val="28"/>
        </w:rPr>
        <w:t>PD x LGD x EAD</w:t>
      </w:r>
    </w:p>
    <w:p w:rsidR="00CB374A" w:rsidRPr="00AE19BF" w:rsidRDefault="00AF3391" w:rsidP="00F248E8">
      <w:pPr>
        <w:pStyle w:val="a4"/>
        <w:spacing w:afterLines="50" w:line="500" w:lineRule="exact"/>
        <w:ind w:leftChars="0" w:left="1200"/>
        <w:jc w:val="both"/>
        <w:rPr>
          <w:rFonts w:ascii="Times New Roman" w:eastAsia="標楷體" w:hAnsi="Times New Roman"/>
          <w:sz w:val="28"/>
          <w:szCs w:val="28"/>
        </w:rPr>
      </w:pPr>
      <w:r w:rsidRPr="00AE19BF">
        <w:rPr>
          <w:rFonts w:ascii="Times New Roman" w:eastAsia="標楷體" w:hAnsi="Times New Roman" w:hint="eastAsia"/>
          <w:sz w:val="28"/>
          <w:szCs w:val="28"/>
        </w:rPr>
        <w:t>債務工具若具有外部評等資訊者，其減損參數可引用外部資訊，</w:t>
      </w:r>
      <w:r w:rsidRPr="00AE19BF">
        <w:rPr>
          <w:rFonts w:asciiTheme="majorHAnsi" w:eastAsia="標楷體" w:hAnsiTheme="majorHAnsi" w:cs="Times New Roman" w:hint="eastAsia"/>
          <w:sz w:val="28"/>
          <w:szCs w:val="28"/>
        </w:rPr>
        <w:lastRenderedPageBreak/>
        <w:t>企業應就多家評等機構建立評等</w:t>
      </w:r>
      <w:r w:rsidR="007C6F79" w:rsidRPr="00AE19BF">
        <w:rPr>
          <w:rFonts w:asciiTheme="majorHAnsi" w:eastAsia="標楷體" w:hAnsiTheme="majorHAnsi" w:cs="Times New Roman" w:hint="eastAsia"/>
          <w:sz w:val="28"/>
          <w:szCs w:val="28"/>
        </w:rPr>
        <w:t>系統</w:t>
      </w:r>
      <w:r w:rsidRPr="00AE19BF">
        <w:rPr>
          <w:rFonts w:asciiTheme="majorHAnsi" w:eastAsia="標楷體" w:hAnsiTheme="majorHAnsi" w:cs="Times New Roman" w:hint="eastAsia"/>
          <w:sz w:val="28"/>
          <w:szCs w:val="28"/>
        </w:rPr>
        <w:t>對照</w:t>
      </w:r>
      <w:r w:rsidR="0088366F" w:rsidRPr="00AE19BF">
        <w:rPr>
          <w:rFonts w:ascii="Times New Roman" w:eastAsia="標楷體" w:hAnsi="Times New Roman" w:hint="eastAsia"/>
          <w:sz w:val="28"/>
          <w:szCs w:val="28"/>
        </w:rPr>
        <w:t>。</w:t>
      </w:r>
    </w:p>
    <w:p w:rsidR="00233F4D" w:rsidRPr="00233F4D" w:rsidRDefault="00D1051A" w:rsidP="00F248E8">
      <w:pPr>
        <w:pStyle w:val="a4"/>
        <w:spacing w:afterLines="50" w:line="500" w:lineRule="exact"/>
        <w:ind w:leftChars="0" w:left="1200"/>
        <w:jc w:val="both"/>
        <w:rPr>
          <w:rFonts w:ascii="Times New Roman" w:eastAsia="標楷體" w:hAnsi="Times New Roman"/>
          <w:sz w:val="28"/>
          <w:szCs w:val="28"/>
        </w:rPr>
      </w:pPr>
      <w:r w:rsidRPr="00AE19BF">
        <w:rPr>
          <w:rFonts w:ascii="Times New Roman" w:eastAsia="標楷體" w:hAnsi="Times New Roman" w:hint="eastAsia"/>
          <w:sz w:val="28"/>
          <w:szCs w:val="28"/>
        </w:rPr>
        <w:t>ITG</w:t>
      </w:r>
      <w:r w:rsidRPr="00AE19BF">
        <w:rPr>
          <w:rFonts w:ascii="Times New Roman" w:eastAsia="標楷體" w:hAnsi="Times New Roman" w:hint="eastAsia"/>
          <w:sz w:val="28"/>
          <w:szCs w:val="28"/>
        </w:rPr>
        <w:t>成員於</w:t>
      </w:r>
      <w:r w:rsidRPr="00AE19BF">
        <w:rPr>
          <w:rFonts w:ascii="Times New Roman" w:eastAsia="標楷體" w:hAnsi="Times New Roman" w:cs="Times New Roman"/>
          <w:color w:val="000000" w:themeColor="text1"/>
          <w:sz w:val="28"/>
          <w:szCs w:val="28"/>
        </w:rPr>
        <w:t>2015</w:t>
      </w:r>
      <w:r w:rsidRPr="00AE19BF">
        <w:rPr>
          <w:rFonts w:ascii="Times New Roman" w:eastAsia="標楷體" w:hAnsi="Times New Roman" w:cs="Times New Roman" w:hint="eastAsia"/>
          <w:color w:val="000000" w:themeColor="text1"/>
          <w:sz w:val="28"/>
          <w:szCs w:val="28"/>
        </w:rPr>
        <w:t>年</w:t>
      </w:r>
      <w:r w:rsidR="00493DFD" w:rsidRPr="00AE19BF">
        <w:rPr>
          <w:rFonts w:ascii="Times New Roman" w:eastAsia="標楷體" w:hAnsi="Times New Roman" w:cs="Times New Roman" w:hint="eastAsia"/>
          <w:color w:val="000000" w:themeColor="text1"/>
          <w:sz w:val="28"/>
          <w:szCs w:val="28"/>
        </w:rPr>
        <w:t>4</w:t>
      </w:r>
      <w:r w:rsidRPr="00AE19BF">
        <w:rPr>
          <w:rFonts w:ascii="Times New Roman" w:eastAsia="標楷體" w:hAnsi="Times New Roman" w:cs="Times New Roman" w:hint="eastAsia"/>
          <w:color w:val="000000" w:themeColor="text1"/>
          <w:sz w:val="28"/>
          <w:szCs w:val="28"/>
        </w:rPr>
        <w:t>月會議中亦有表示在評估金融工具之信用風險</w:t>
      </w:r>
      <w:r w:rsidR="002B102E" w:rsidRPr="00AE19BF">
        <w:rPr>
          <w:rFonts w:ascii="Times New Roman" w:eastAsia="標楷體" w:hAnsi="Times New Roman" w:cs="Times New Roman" w:hint="eastAsia"/>
          <w:color w:val="000000" w:themeColor="text1"/>
          <w:sz w:val="28"/>
          <w:szCs w:val="28"/>
        </w:rPr>
        <w:t>是否顯著增加</w:t>
      </w:r>
      <w:r w:rsidRPr="00AE19BF">
        <w:rPr>
          <w:rFonts w:ascii="Times New Roman" w:eastAsia="標楷體" w:hAnsi="Times New Roman" w:cs="Times New Roman" w:hint="eastAsia"/>
          <w:color w:val="000000" w:themeColor="text1"/>
          <w:sz w:val="28"/>
          <w:szCs w:val="28"/>
        </w:rPr>
        <w:t>時</w:t>
      </w:r>
      <w:r w:rsidR="009C5ECB">
        <w:rPr>
          <w:rFonts w:ascii="Times New Roman" w:eastAsia="標楷體" w:hAnsi="Times New Roman" w:cs="Times New Roman" w:hint="eastAsia"/>
          <w:color w:val="000000" w:themeColor="text1"/>
          <w:sz w:val="28"/>
          <w:szCs w:val="28"/>
        </w:rPr>
        <w:t>，</w:t>
      </w:r>
      <w:r w:rsidRPr="00AE19BF">
        <w:rPr>
          <w:rFonts w:ascii="Times New Roman" w:eastAsia="標楷體" w:hAnsi="Times New Roman" w:cs="Times New Roman" w:hint="eastAsia"/>
          <w:color w:val="000000" w:themeColor="text1"/>
          <w:sz w:val="28"/>
          <w:szCs w:val="28"/>
        </w:rPr>
        <w:t>不應</w:t>
      </w:r>
      <w:r w:rsidR="009C5ECB">
        <w:rPr>
          <w:rFonts w:ascii="Times New Roman" w:eastAsia="標楷體" w:hAnsi="Times New Roman" w:cs="Times New Roman" w:hint="eastAsia"/>
          <w:color w:val="000000" w:themeColor="text1"/>
          <w:sz w:val="28"/>
          <w:szCs w:val="28"/>
        </w:rPr>
        <w:t>將該金融工具是否具</w:t>
      </w:r>
      <w:r w:rsidRPr="00AE19BF">
        <w:rPr>
          <w:rFonts w:ascii="Times New Roman" w:eastAsia="標楷體" w:hAnsi="Times New Roman" w:cs="Times New Roman" w:hint="eastAsia"/>
          <w:color w:val="000000" w:themeColor="text1"/>
          <w:sz w:val="28"/>
          <w:szCs w:val="28"/>
        </w:rPr>
        <w:t>擔保品</w:t>
      </w:r>
      <w:r w:rsidR="009C5ECB">
        <w:rPr>
          <w:rFonts w:ascii="Times New Roman" w:eastAsia="標楷體" w:hAnsi="Times New Roman" w:cs="Times New Roman" w:hint="eastAsia"/>
          <w:color w:val="000000" w:themeColor="text1"/>
          <w:sz w:val="28"/>
          <w:szCs w:val="28"/>
        </w:rPr>
        <w:t>或財務保證或其他信用增強列入考量</w:t>
      </w:r>
      <w:r w:rsidR="00B158AA" w:rsidRPr="00AE19BF">
        <w:rPr>
          <w:rFonts w:ascii="Times New Roman" w:eastAsia="標楷體" w:hAnsi="Times New Roman" w:cs="Times New Roman" w:hint="eastAsia"/>
          <w:color w:val="000000" w:themeColor="text1"/>
          <w:sz w:val="28"/>
          <w:szCs w:val="28"/>
        </w:rPr>
        <w:t>；</w:t>
      </w:r>
      <w:r w:rsidRPr="00AE19BF">
        <w:rPr>
          <w:rFonts w:ascii="Times New Roman" w:eastAsia="標楷體" w:hAnsi="Times New Roman" w:cs="Times New Roman" w:hint="eastAsia"/>
          <w:color w:val="000000" w:themeColor="text1"/>
          <w:sz w:val="28"/>
          <w:szCs w:val="28"/>
        </w:rPr>
        <w:t>故債務工具於報導日採用</w:t>
      </w:r>
      <w:r w:rsidR="007948D1" w:rsidRPr="00AE19BF">
        <w:rPr>
          <w:rFonts w:ascii="Times New Roman" w:eastAsia="標楷體" w:hAnsi="Times New Roman" w:cs="Times New Roman" w:hint="eastAsia"/>
          <w:color w:val="000000" w:themeColor="text1"/>
          <w:sz w:val="28"/>
          <w:szCs w:val="28"/>
        </w:rPr>
        <w:t>外部</w:t>
      </w:r>
      <w:r w:rsidR="00583B10" w:rsidRPr="00AE19BF">
        <w:rPr>
          <w:rFonts w:ascii="Times New Roman" w:eastAsia="標楷體" w:hAnsi="Times New Roman" w:hint="eastAsia"/>
          <w:sz w:val="28"/>
          <w:szCs w:val="28"/>
        </w:rPr>
        <w:t>信用評等</w:t>
      </w:r>
      <w:r w:rsidR="007948D1" w:rsidRPr="00AE19BF">
        <w:rPr>
          <w:rFonts w:ascii="Times New Roman" w:eastAsia="標楷體" w:hAnsi="Times New Roman" w:hint="eastAsia"/>
          <w:sz w:val="28"/>
          <w:szCs w:val="28"/>
        </w:rPr>
        <w:t>資訊</w:t>
      </w:r>
      <w:r w:rsidR="00583B10" w:rsidRPr="00AE19BF">
        <w:rPr>
          <w:rFonts w:ascii="Times New Roman" w:eastAsia="標楷體" w:hAnsi="Times New Roman" w:hint="eastAsia"/>
          <w:sz w:val="28"/>
          <w:szCs w:val="28"/>
        </w:rPr>
        <w:t>找尋相對應</w:t>
      </w:r>
      <w:r w:rsidR="00583B10" w:rsidRPr="00AE19BF">
        <w:rPr>
          <w:rFonts w:ascii="Times New Roman" w:eastAsia="標楷體" w:hAnsi="Times New Roman" w:cs="Times New Roman" w:hint="eastAsia"/>
          <w:color w:val="000000" w:themeColor="text1"/>
          <w:sz w:val="28"/>
          <w:szCs w:val="28"/>
        </w:rPr>
        <w:t>違約機率</w:t>
      </w:r>
      <w:r w:rsidR="00583B10" w:rsidRPr="00AE19BF">
        <w:rPr>
          <w:rFonts w:ascii="Times New Roman" w:eastAsia="標楷體" w:hAnsi="Times New Roman" w:cs="Times New Roman" w:hint="eastAsia"/>
          <w:color w:val="000000" w:themeColor="text1"/>
          <w:sz w:val="28"/>
          <w:szCs w:val="28"/>
        </w:rPr>
        <w:t>(PD)</w:t>
      </w:r>
      <w:r w:rsidR="00583B10" w:rsidRPr="00AE19BF">
        <w:rPr>
          <w:rFonts w:ascii="Times New Roman" w:eastAsia="標楷體" w:hAnsi="Times New Roman" w:cs="Times New Roman" w:hint="eastAsia"/>
          <w:color w:val="000000" w:themeColor="text1"/>
          <w:sz w:val="28"/>
          <w:szCs w:val="28"/>
        </w:rPr>
        <w:t>，</w:t>
      </w:r>
      <w:r w:rsidR="005A1395" w:rsidRPr="00AE19BF">
        <w:rPr>
          <w:rFonts w:ascii="Times New Roman" w:eastAsia="標楷體" w:hAnsi="Times New Roman" w:cs="Times New Roman" w:hint="eastAsia"/>
          <w:color w:val="000000" w:themeColor="text1"/>
          <w:sz w:val="28"/>
          <w:szCs w:val="28"/>
        </w:rPr>
        <w:t>並</w:t>
      </w:r>
      <w:r w:rsidR="00583B10" w:rsidRPr="00AE19BF">
        <w:rPr>
          <w:rFonts w:ascii="Times New Roman" w:eastAsia="標楷體" w:hAnsi="Times New Roman" w:hint="eastAsia"/>
          <w:sz w:val="28"/>
          <w:szCs w:val="28"/>
        </w:rPr>
        <w:t>產出多年期的違約機率。另</w:t>
      </w:r>
      <w:r w:rsidR="00493DFD" w:rsidRPr="00AE19BF">
        <w:rPr>
          <w:rFonts w:ascii="Times New Roman" w:eastAsia="標楷體" w:hAnsi="Times New Roman" w:hint="eastAsia"/>
          <w:sz w:val="28"/>
          <w:szCs w:val="28"/>
        </w:rPr>
        <w:t>違</w:t>
      </w:r>
      <w:r w:rsidR="00583B10" w:rsidRPr="00AE19BF">
        <w:rPr>
          <w:rFonts w:ascii="Times New Roman" w:eastAsia="標楷體" w:hAnsi="Times New Roman" w:hint="eastAsia"/>
          <w:sz w:val="28"/>
          <w:szCs w:val="28"/>
        </w:rPr>
        <w:t>約損失率</w:t>
      </w:r>
      <w:r w:rsidR="00583B10" w:rsidRPr="00AE19BF">
        <w:rPr>
          <w:rFonts w:ascii="Times New Roman" w:eastAsia="標楷體" w:hAnsi="Times New Roman" w:hint="eastAsia"/>
          <w:sz w:val="28"/>
          <w:szCs w:val="28"/>
        </w:rPr>
        <w:t>(LGD)</w:t>
      </w:r>
      <w:r w:rsidR="00583B10" w:rsidRPr="00AE19BF">
        <w:rPr>
          <w:rFonts w:ascii="Times New Roman" w:eastAsia="標楷體" w:hAnsi="Times New Roman" w:hint="eastAsia"/>
          <w:sz w:val="28"/>
          <w:szCs w:val="28"/>
        </w:rPr>
        <w:t>則應考量標的物是否具有擔保</w:t>
      </w:r>
      <w:r w:rsidR="009C5ECB">
        <w:rPr>
          <w:rFonts w:ascii="Times New Roman" w:eastAsia="標楷體" w:hAnsi="Times New Roman" w:hint="eastAsia"/>
          <w:sz w:val="28"/>
          <w:szCs w:val="28"/>
        </w:rPr>
        <w:t>品</w:t>
      </w:r>
      <w:r w:rsidR="00583B10" w:rsidRPr="00AE19BF">
        <w:rPr>
          <w:rFonts w:ascii="Times New Roman" w:eastAsia="標楷體" w:hAnsi="Times New Roman" w:hint="eastAsia"/>
          <w:sz w:val="28"/>
          <w:szCs w:val="28"/>
        </w:rPr>
        <w:t>及其受償順序</w:t>
      </w:r>
      <w:r w:rsidR="009C5ECB">
        <w:rPr>
          <w:rFonts w:ascii="Times New Roman" w:eastAsia="標楷體" w:hAnsi="Times New Roman" w:hint="eastAsia"/>
          <w:sz w:val="28"/>
          <w:szCs w:val="28"/>
        </w:rPr>
        <w:t>或其他信用增強來</w:t>
      </w:r>
      <w:r w:rsidR="00583B10" w:rsidRPr="00AE19BF">
        <w:rPr>
          <w:rFonts w:ascii="Times New Roman" w:eastAsia="標楷體" w:hAnsi="Times New Roman" w:hint="eastAsia"/>
          <w:sz w:val="28"/>
          <w:szCs w:val="28"/>
        </w:rPr>
        <w:t>確認未來現金流量，</w:t>
      </w:r>
      <w:r w:rsidR="00B158AA" w:rsidRPr="00AE19BF">
        <w:rPr>
          <w:rFonts w:ascii="Times New Roman" w:eastAsia="標楷體" w:hAnsi="Times New Roman" w:hint="eastAsia"/>
          <w:sz w:val="28"/>
          <w:szCs w:val="28"/>
        </w:rPr>
        <w:t>取得違約損失率資訊</w:t>
      </w:r>
      <w:r w:rsidR="00583B10" w:rsidRPr="00AE19BF">
        <w:rPr>
          <w:rFonts w:ascii="Times New Roman" w:eastAsia="標楷體" w:hAnsi="Times New Roman" w:hint="eastAsia"/>
          <w:sz w:val="28"/>
          <w:szCs w:val="28"/>
        </w:rPr>
        <w:t>。</w:t>
      </w:r>
      <w:r w:rsidR="00A16DED" w:rsidRPr="00AE19BF">
        <w:rPr>
          <w:rFonts w:ascii="Times New Roman" w:eastAsia="標楷體" w:hAnsi="Times New Roman" w:hint="eastAsia"/>
          <w:sz w:val="28"/>
          <w:szCs w:val="28"/>
        </w:rPr>
        <w:t>上述減損參數需</w:t>
      </w:r>
      <w:r w:rsidR="004018A3" w:rsidRPr="00AE19BF">
        <w:rPr>
          <w:rFonts w:ascii="Times New Roman" w:eastAsia="標楷體" w:hAnsi="Times New Roman" w:hint="eastAsia"/>
          <w:sz w:val="28"/>
          <w:szCs w:val="28"/>
        </w:rPr>
        <w:t>考量</w:t>
      </w:r>
      <w:r w:rsidR="00A16DED" w:rsidRPr="00AE19BF">
        <w:rPr>
          <w:rFonts w:ascii="Times New Roman" w:eastAsia="標楷體" w:hAnsi="Times New Roman" w:hint="eastAsia"/>
          <w:sz w:val="28"/>
          <w:szCs w:val="28"/>
        </w:rPr>
        <w:t>前瞻性</w:t>
      </w:r>
      <w:r w:rsidR="004018A3" w:rsidRPr="00AE19BF">
        <w:rPr>
          <w:rFonts w:ascii="Times New Roman" w:eastAsia="標楷體" w:hAnsi="Times New Roman" w:hint="eastAsia"/>
          <w:sz w:val="28"/>
          <w:szCs w:val="28"/>
        </w:rPr>
        <w:t>資訊</w:t>
      </w:r>
      <w:r w:rsidR="00A16DED" w:rsidRPr="00AE19BF">
        <w:rPr>
          <w:rFonts w:ascii="Times New Roman" w:eastAsia="標楷體" w:hAnsi="Times New Roman" w:hint="eastAsia"/>
          <w:sz w:val="28"/>
          <w:szCs w:val="28"/>
        </w:rPr>
        <w:t>，其可參考現行外部評等機構之評等準則</w:t>
      </w:r>
      <w:r w:rsidR="00B158AA" w:rsidRPr="00AE19BF">
        <w:rPr>
          <w:rFonts w:ascii="Times New Roman" w:eastAsia="標楷體" w:hAnsi="Times New Roman" w:hint="eastAsia"/>
          <w:sz w:val="28"/>
          <w:szCs w:val="28"/>
        </w:rPr>
        <w:t>內容</w:t>
      </w:r>
      <w:r w:rsidR="00A16DED" w:rsidRPr="00AE19BF">
        <w:rPr>
          <w:rFonts w:ascii="Times New Roman" w:eastAsia="標楷體" w:hAnsi="Times New Roman" w:hint="eastAsia"/>
          <w:sz w:val="28"/>
          <w:szCs w:val="28"/>
        </w:rPr>
        <w:t>，</w:t>
      </w:r>
      <w:r w:rsidR="00B158AA" w:rsidRPr="00AE19BF">
        <w:rPr>
          <w:rFonts w:ascii="Times New Roman" w:eastAsia="標楷體" w:hAnsi="Times New Roman" w:hint="eastAsia"/>
          <w:sz w:val="28"/>
          <w:szCs w:val="28"/>
        </w:rPr>
        <w:t>並於財務報導中依</w:t>
      </w:r>
      <w:r w:rsidR="00B158AA" w:rsidRPr="00AE19BF">
        <w:rPr>
          <w:rFonts w:ascii="Times New Roman" w:eastAsia="標楷體" w:hAnsi="Times New Roman" w:hint="eastAsia"/>
          <w:sz w:val="28"/>
          <w:szCs w:val="28"/>
        </w:rPr>
        <w:t>IFRS 7</w:t>
      </w:r>
      <w:r w:rsidR="00B158AA" w:rsidRPr="00AE19BF">
        <w:rPr>
          <w:rFonts w:ascii="Times New Roman" w:eastAsia="標楷體" w:hAnsi="Times New Roman" w:hint="eastAsia"/>
          <w:sz w:val="28"/>
          <w:szCs w:val="28"/>
        </w:rPr>
        <w:t>規範揭露前瞻性資訊來源。</w:t>
      </w:r>
    </w:p>
    <w:p w:rsidR="001A3EFC" w:rsidRPr="00233F4D" w:rsidRDefault="001A3EFC" w:rsidP="00233F4D">
      <w:pPr>
        <w:pStyle w:val="a4"/>
        <w:widowControl/>
        <w:numPr>
          <w:ilvl w:val="0"/>
          <w:numId w:val="26"/>
        </w:numPr>
        <w:spacing w:line="500" w:lineRule="exact"/>
        <w:ind w:leftChars="0"/>
        <w:rPr>
          <w:rFonts w:ascii="Times New Roman" w:eastAsia="標楷體" w:hAnsi="Times New Roman"/>
          <w:sz w:val="28"/>
          <w:szCs w:val="28"/>
        </w:rPr>
      </w:pPr>
      <w:r w:rsidRPr="00233F4D">
        <w:rPr>
          <w:rFonts w:ascii="Times New Roman" w:eastAsia="標楷體" w:hAnsi="Times New Roman" w:hint="eastAsia"/>
          <w:sz w:val="28"/>
          <w:szCs w:val="28"/>
        </w:rPr>
        <w:t>債票</w:t>
      </w:r>
      <w:proofErr w:type="gramStart"/>
      <w:r w:rsidRPr="00233F4D">
        <w:rPr>
          <w:rFonts w:ascii="Times New Roman" w:eastAsia="標楷體" w:hAnsi="Times New Roman" w:hint="eastAsia"/>
          <w:sz w:val="28"/>
          <w:szCs w:val="28"/>
        </w:rPr>
        <w:t>券釋例</w:t>
      </w:r>
      <w:proofErr w:type="gramEnd"/>
      <w:r w:rsidRPr="00233F4D">
        <w:rPr>
          <w:rFonts w:ascii="Times New Roman" w:eastAsia="標楷體" w:hAnsi="Times New Roman" w:hint="eastAsia"/>
          <w:sz w:val="28"/>
          <w:szCs w:val="28"/>
        </w:rPr>
        <w:t>：</w:t>
      </w:r>
    </w:p>
    <w:p w:rsidR="001A3EFC" w:rsidRPr="00AE19BF" w:rsidRDefault="001A3EFC" w:rsidP="00AE19BF">
      <w:pPr>
        <w:pStyle w:val="a4"/>
        <w:pBdr>
          <w:top w:val="single" w:sz="4" w:space="1" w:color="auto"/>
          <w:left w:val="single" w:sz="4" w:space="4" w:color="auto"/>
          <w:bottom w:val="single" w:sz="4" w:space="1" w:color="auto"/>
          <w:right w:val="single" w:sz="4" w:space="3" w:color="auto"/>
        </w:pBdr>
        <w:spacing w:before="120" w:line="500" w:lineRule="exact"/>
        <w:ind w:leftChars="0" w:left="1200"/>
        <w:jc w:val="both"/>
        <w:rPr>
          <w:rFonts w:ascii="Times New Roman" w:eastAsia="標楷體" w:hAnsi="Times New Roman" w:cs="Times New Roman"/>
          <w:sz w:val="28"/>
          <w:szCs w:val="28"/>
        </w:rPr>
      </w:pPr>
      <w:r w:rsidRPr="00AE19BF">
        <w:rPr>
          <w:rFonts w:ascii="Times New Roman" w:eastAsia="標楷體" w:hAnsi="Times New Roman" w:cs="Times New Roman" w:hint="eastAsia"/>
          <w:sz w:val="28"/>
          <w:szCs w:val="28"/>
        </w:rPr>
        <w:t>某公司發行之一般公司債券，面額為</w:t>
      </w:r>
      <w:r w:rsidRPr="00AE19BF">
        <w:rPr>
          <w:rFonts w:ascii="Times New Roman" w:eastAsia="標楷體" w:hAnsi="Times New Roman" w:cs="Times New Roman"/>
          <w:sz w:val="28"/>
          <w:szCs w:val="28"/>
        </w:rPr>
        <w:t>500,000</w:t>
      </w:r>
      <w:r w:rsidRPr="00AE19BF">
        <w:rPr>
          <w:rFonts w:ascii="Times New Roman" w:eastAsia="標楷體" w:hAnsi="Times New Roman" w:cs="Times New Roman" w:hint="eastAsia"/>
          <w:sz w:val="28"/>
          <w:szCs w:val="28"/>
        </w:rPr>
        <w:t>元，發行日期為</w:t>
      </w:r>
      <w:r w:rsidRPr="00AE19BF">
        <w:rPr>
          <w:rFonts w:ascii="Times New Roman" w:eastAsia="標楷體" w:hAnsi="Times New Roman" w:cs="Times New Roman"/>
          <w:sz w:val="28"/>
          <w:szCs w:val="28"/>
        </w:rPr>
        <w:t>2017/12/31</w:t>
      </w:r>
      <w:r w:rsidRPr="00AE19BF">
        <w:rPr>
          <w:rFonts w:ascii="Times New Roman" w:eastAsia="標楷體" w:hAnsi="Times New Roman" w:cs="Times New Roman" w:hint="eastAsia"/>
          <w:sz w:val="28"/>
          <w:szCs w:val="28"/>
        </w:rPr>
        <w:t>，到期期限為</w:t>
      </w:r>
      <w:r w:rsidRPr="00AE19BF">
        <w:rPr>
          <w:rFonts w:ascii="Times New Roman" w:eastAsia="標楷體" w:hAnsi="Times New Roman" w:cs="Times New Roman"/>
          <w:sz w:val="28"/>
          <w:szCs w:val="28"/>
        </w:rPr>
        <w:t>5</w:t>
      </w:r>
      <w:r w:rsidRPr="00AE19BF">
        <w:rPr>
          <w:rFonts w:ascii="Times New Roman" w:eastAsia="標楷體" w:hAnsi="Times New Roman" w:cs="Times New Roman" w:hint="eastAsia"/>
          <w:sz w:val="28"/>
          <w:szCs w:val="28"/>
        </w:rPr>
        <w:t>年，票面利率為年息</w:t>
      </w:r>
      <w:r w:rsidRPr="00AE19BF">
        <w:rPr>
          <w:rFonts w:ascii="Times New Roman" w:eastAsia="標楷體" w:hAnsi="Times New Roman" w:cs="Times New Roman"/>
          <w:sz w:val="28"/>
          <w:szCs w:val="28"/>
        </w:rPr>
        <w:t>5%</w:t>
      </w:r>
      <w:r w:rsidRPr="00AE19BF">
        <w:rPr>
          <w:rFonts w:ascii="Times New Roman" w:eastAsia="標楷體" w:hAnsi="Times New Roman" w:cs="Times New Roman" w:hint="eastAsia"/>
          <w:sz w:val="28"/>
          <w:szCs w:val="28"/>
        </w:rPr>
        <w:t>，每年</w:t>
      </w:r>
      <w:r w:rsidR="00614599" w:rsidRPr="00AE19BF">
        <w:rPr>
          <w:rFonts w:ascii="Times New Roman" w:eastAsia="標楷體" w:hAnsi="Times New Roman" w:cs="Times New Roman" w:hint="eastAsia"/>
          <w:sz w:val="28"/>
          <w:szCs w:val="28"/>
        </w:rPr>
        <w:t>年底</w:t>
      </w:r>
      <w:r w:rsidRPr="00AE19BF">
        <w:rPr>
          <w:rFonts w:ascii="Times New Roman" w:eastAsia="標楷體" w:hAnsi="Times New Roman" w:cs="Times New Roman" w:hint="eastAsia"/>
          <w:sz w:val="28"/>
          <w:szCs w:val="28"/>
        </w:rPr>
        <w:t>付息一次且於到期時一次還本，</w:t>
      </w:r>
      <w:proofErr w:type="gramStart"/>
      <w:r w:rsidRPr="00AE19BF">
        <w:rPr>
          <w:rFonts w:ascii="Times New Roman" w:eastAsia="標楷體" w:hAnsi="Times New Roman" w:cs="Times New Roman" w:hint="eastAsia"/>
          <w:sz w:val="28"/>
          <w:szCs w:val="28"/>
        </w:rPr>
        <w:t>屬主順位</w:t>
      </w:r>
      <w:proofErr w:type="gramEnd"/>
      <w:r w:rsidRPr="00AE19BF">
        <w:rPr>
          <w:rFonts w:ascii="Times New Roman" w:eastAsia="標楷體" w:hAnsi="Times New Roman" w:cs="Times New Roman" w:hint="eastAsia"/>
          <w:sz w:val="28"/>
          <w:szCs w:val="28"/>
        </w:rPr>
        <w:t>無擔保債券。</w:t>
      </w:r>
    </w:p>
    <w:p w:rsidR="001A3EFC" w:rsidRPr="00AE19BF" w:rsidRDefault="001A3EFC" w:rsidP="00AE19BF">
      <w:pPr>
        <w:pStyle w:val="a4"/>
        <w:pBdr>
          <w:top w:val="single" w:sz="4" w:space="1" w:color="auto"/>
          <w:left w:val="single" w:sz="4" w:space="4" w:color="auto"/>
          <w:bottom w:val="single" w:sz="4" w:space="1" w:color="auto"/>
          <w:right w:val="single" w:sz="4" w:space="3" w:color="auto"/>
        </w:pBdr>
        <w:spacing w:before="120" w:line="500" w:lineRule="exact"/>
        <w:ind w:leftChars="0" w:left="1200"/>
        <w:jc w:val="both"/>
        <w:rPr>
          <w:rFonts w:ascii="Times New Roman" w:eastAsia="標楷體" w:hAnsi="Times New Roman" w:cs="Times New Roman"/>
          <w:sz w:val="28"/>
          <w:szCs w:val="28"/>
        </w:rPr>
      </w:pPr>
      <w:r w:rsidRPr="00AE19BF">
        <w:rPr>
          <w:rFonts w:ascii="Times New Roman" w:eastAsia="標楷體" w:hAnsi="Times New Roman" w:cs="Times New Roman"/>
          <w:sz w:val="28"/>
          <w:szCs w:val="28"/>
        </w:rPr>
        <w:t>D</w:t>
      </w:r>
      <w:r w:rsidRPr="00AE19BF">
        <w:rPr>
          <w:rFonts w:ascii="Times New Roman" w:eastAsia="標楷體" w:hAnsi="Times New Roman" w:cs="Times New Roman" w:hint="eastAsia"/>
          <w:sz w:val="28"/>
          <w:szCs w:val="28"/>
        </w:rPr>
        <w:t>銀行於</w:t>
      </w:r>
      <w:r w:rsidRPr="00AE19BF">
        <w:rPr>
          <w:rFonts w:ascii="Times New Roman" w:eastAsia="標楷體" w:hAnsi="Times New Roman" w:cs="Times New Roman"/>
          <w:sz w:val="28"/>
          <w:szCs w:val="28"/>
        </w:rPr>
        <w:t>2018/1/1</w:t>
      </w:r>
      <w:r w:rsidRPr="00AE19BF">
        <w:rPr>
          <w:rFonts w:ascii="Times New Roman" w:eastAsia="標楷體" w:hAnsi="Times New Roman" w:cs="Times New Roman" w:hint="eastAsia"/>
          <w:sz w:val="28"/>
          <w:szCs w:val="28"/>
        </w:rPr>
        <w:t>支付現金購買該債券，購買價格為</w:t>
      </w:r>
      <w:r w:rsidRPr="00AE19BF">
        <w:rPr>
          <w:rFonts w:ascii="Times New Roman" w:eastAsia="標楷體" w:hAnsi="Times New Roman" w:cs="Times New Roman"/>
          <w:sz w:val="28"/>
          <w:szCs w:val="28"/>
        </w:rPr>
        <w:t>478,938</w:t>
      </w:r>
      <w:r w:rsidRPr="00AE19BF">
        <w:rPr>
          <w:rFonts w:ascii="Times New Roman" w:eastAsia="標楷體" w:hAnsi="Times New Roman" w:cs="Times New Roman" w:hint="eastAsia"/>
          <w:sz w:val="28"/>
          <w:szCs w:val="28"/>
        </w:rPr>
        <w:t>元，購買時之有效利率為</w:t>
      </w:r>
      <w:r w:rsidRPr="00AE19BF">
        <w:rPr>
          <w:rFonts w:ascii="Times New Roman" w:eastAsia="標楷體" w:hAnsi="Times New Roman" w:cs="Times New Roman"/>
          <w:sz w:val="28"/>
          <w:szCs w:val="28"/>
        </w:rPr>
        <w:t>6%</w:t>
      </w:r>
      <w:r w:rsidRPr="00AE19BF">
        <w:rPr>
          <w:rFonts w:ascii="Times New Roman" w:eastAsia="標楷體" w:hAnsi="Times New Roman" w:cs="Times New Roman" w:hint="eastAsia"/>
          <w:sz w:val="28"/>
          <w:szCs w:val="28"/>
        </w:rPr>
        <w:t>，</w:t>
      </w:r>
      <w:r w:rsidRPr="00AE19BF">
        <w:rPr>
          <w:rFonts w:ascii="Times New Roman" w:eastAsia="標楷體" w:hAnsi="Times New Roman" w:cs="Times New Roman"/>
          <w:sz w:val="28"/>
          <w:szCs w:val="28"/>
        </w:rPr>
        <w:t>D</w:t>
      </w:r>
      <w:r w:rsidRPr="00AE19BF">
        <w:rPr>
          <w:rFonts w:ascii="Times New Roman" w:eastAsia="標楷體" w:hAnsi="Times New Roman" w:cs="Times New Roman" w:hint="eastAsia"/>
          <w:sz w:val="28"/>
          <w:szCs w:val="28"/>
        </w:rPr>
        <w:t>銀行將該債券分類</w:t>
      </w:r>
      <w:proofErr w:type="gramStart"/>
      <w:r w:rsidRPr="00AE19BF">
        <w:rPr>
          <w:rFonts w:ascii="Times New Roman" w:eastAsia="標楷體" w:hAnsi="Times New Roman" w:cs="Times New Roman" w:hint="eastAsia"/>
          <w:sz w:val="28"/>
          <w:szCs w:val="28"/>
        </w:rPr>
        <w:t>為攤銷後</w:t>
      </w:r>
      <w:proofErr w:type="gramEnd"/>
      <w:r w:rsidRPr="00AE19BF">
        <w:rPr>
          <w:rFonts w:ascii="Times New Roman" w:eastAsia="標楷體" w:hAnsi="Times New Roman" w:cs="Times New Roman" w:hint="eastAsia"/>
          <w:sz w:val="28"/>
          <w:szCs w:val="28"/>
        </w:rPr>
        <w:t>成本</w:t>
      </w:r>
      <w:r w:rsidR="00DF4436" w:rsidRPr="00AE19BF">
        <w:rPr>
          <w:rFonts w:ascii="Times New Roman" w:eastAsia="標楷體" w:hAnsi="Times New Roman" w:cs="Times New Roman" w:hint="eastAsia"/>
          <w:sz w:val="28"/>
          <w:szCs w:val="28"/>
        </w:rPr>
        <w:t>衡量</w:t>
      </w:r>
      <w:r w:rsidR="00DF4436" w:rsidRPr="00AE19BF">
        <w:rPr>
          <w:rFonts w:ascii="Times New Roman" w:eastAsia="標楷體" w:hAnsi="Times New Roman" w:cs="Times New Roman" w:hint="eastAsia"/>
          <w:sz w:val="28"/>
          <w:szCs w:val="28"/>
        </w:rPr>
        <w:t>(AC</w:t>
      </w:r>
      <w:r w:rsidRPr="00AE19BF">
        <w:rPr>
          <w:rFonts w:ascii="Times New Roman" w:eastAsia="標楷體" w:hAnsi="Times New Roman" w:cs="Times New Roman"/>
          <w:sz w:val="28"/>
          <w:szCs w:val="28"/>
        </w:rPr>
        <w:t>)</w:t>
      </w:r>
      <w:r w:rsidRPr="00AE19BF">
        <w:rPr>
          <w:rFonts w:ascii="Times New Roman" w:eastAsia="標楷體" w:hAnsi="Times New Roman" w:cs="Times New Roman" w:hint="eastAsia"/>
          <w:sz w:val="28"/>
          <w:szCs w:val="28"/>
        </w:rPr>
        <w:t>。</w:t>
      </w:r>
    </w:p>
    <w:p w:rsidR="001A3EFC" w:rsidRPr="00AE19BF" w:rsidRDefault="001A3EFC" w:rsidP="00AE19BF">
      <w:pPr>
        <w:pStyle w:val="a4"/>
        <w:pBdr>
          <w:top w:val="single" w:sz="4" w:space="1" w:color="auto"/>
          <w:left w:val="single" w:sz="4" w:space="4" w:color="auto"/>
          <w:bottom w:val="single" w:sz="4" w:space="1" w:color="auto"/>
          <w:right w:val="single" w:sz="4" w:space="3" w:color="auto"/>
        </w:pBdr>
        <w:spacing w:before="120" w:line="500" w:lineRule="exact"/>
        <w:ind w:leftChars="0" w:left="1200"/>
        <w:jc w:val="both"/>
        <w:rPr>
          <w:rFonts w:ascii="Times New Roman" w:eastAsia="標楷體" w:hAnsi="Times New Roman" w:cs="Times New Roman"/>
          <w:sz w:val="28"/>
          <w:szCs w:val="28"/>
        </w:rPr>
      </w:pPr>
      <w:r w:rsidRPr="00AE19BF">
        <w:rPr>
          <w:rFonts w:ascii="Times New Roman" w:eastAsia="標楷體" w:hAnsi="Times New Roman" w:cs="Times New Roman"/>
          <w:sz w:val="28"/>
          <w:szCs w:val="28"/>
        </w:rPr>
        <w:t>D</w:t>
      </w:r>
      <w:r w:rsidRPr="00AE19BF">
        <w:rPr>
          <w:rFonts w:ascii="Times New Roman" w:eastAsia="標楷體" w:hAnsi="Times New Roman" w:cs="Times New Roman" w:hint="eastAsia"/>
          <w:sz w:val="28"/>
          <w:szCs w:val="28"/>
        </w:rPr>
        <w:t>銀行購買時發行人外部國際信用評等</w:t>
      </w:r>
      <w:r w:rsidRPr="00AE19BF">
        <w:rPr>
          <w:rStyle w:val="ab"/>
          <w:rFonts w:ascii="Times New Roman" w:eastAsia="標楷體" w:hAnsi="Times New Roman" w:cs="Times New Roman"/>
          <w:sz w:val="28"/>
          <w:szCs w:val="28"/>
        </w:rPr>
        <w:footnoteReference w:id="1"/>
      </w:r>
      <w:r w:rsidRPr="00AE19BF">
        <w:rPr>
          <w:rFonts w:ascii="Times New Roman" w:eastAsia="標楷體" w:hAnsi="Times New Roman" w:cs="Times New Roman" w:hint="eastAsia"/>
          <w:sz w:val="28"/>
          <w:szCs w:val="28"/>
        </w:rPr>
        <w:t>為：</w:t>
      </w:r>
      <w:r w:rsidRPr="00AE19BF">
        <w:rPr>
          <w:rFonts w:ascii="Times New Roman" w:eastAsia="標楷體" w:hAnsi="Times New Roman" w:cs="Times New Roman"/>
          <w:sz w:val="28"/>
          <w:szCs w:val="28"/>
        </w:rPr>
        <w:t>BBB+</w:t>
      </w:r>
      <w:r w:rsidRPr="00AE19BF">
        <w:rPr>
          <w:rFonts w:ascii="Times New Roman" w:eastAsia="標楷體" w:hAnsi="Times New Roman" w:cs="Times New Roman" w:hint="eastAsia"/>
          <w:sz w:val="28"/>
          <w:szCs w:val="28"/>
        </w:rPr>
        <w:t>；</w:t>
      </w:r>
      <w:r w:rsidRPr="00AE19BF">
        <w:rPr>
          <w:rFonts w:ascii="Times New Roman" w:eastAsia="標楷體" w:hAnsi="Times New Roman" w:cs="Times New Roman"/>
          <w:sz w:val="28"/>
          <w:szCs w:val="28"/>
        </w:rPr>
        <w:t>D</w:t>
      </w:r>
      <w:r w:rsidRPr="00AE19BF">
        <w:rPr>
          <w:rFonts w:ascii="Times New Roman" w:eastAsia="標楷體" w:hAnsi="Times New Roman" w:cs="Times New Roman" w:hint="eastAsia"/>
          <w:sz w:val="28"/>
          <w:szCs w:val="28"/>
        </w:rPr>
        <w:t>銀行評估該債券之違約損失率</w:t>
      </w:r>
      <w:r w:rsidRPr="00AE19BF">
        <w:rPr>
          <w:rFonts w:ascii="Times New Roman" w:eastAsia="標楷體" w:hAnsi="Times New Roman" w:cs="Times New Roman"/>
          <w:sz w:val="28"/>
          <w:szCs w:val="28"/>
        </w:rPr>
        <w:t>(LGD)</w:t>
      </w:r>
      <w:r w:rsidRPr="00AE19BF">
        <w:rPr>
          <w:rFonts w:ascii="Times New Roman" w:eastAsia="標楷體" w:hAnsi="Times New Roman" w:cs="Times New Roman" w:hint="eastAsia"/>
          <w:sz w:val="28"/>
          <w:szCs w:val="28"/>
        </w:rPr>
        <w:t>為</w:t>
      </w:r>
      <w:r w:rsidRPr="00AE19BF">
        <w:rPr>
          <w:rFonts w:ascii="Times New Roman" w:eastAsia="標楷體" w:hAnsi="Times New Roman" w:cs="Times New Roman"/>
          <w:sz w:val="28"/>
          <w:szCs w:val="28"/>
        </w:rPr>
        <w:t>65%</w:t>
      </w:r>
      <w:r w:rsidRPr="00AE19BF">
        <w:rPr>
          <w:rFonts w:ascii="Times New Roman" w:eastAsia="標楷體" w:hAnsi="Times New Roman" w:cs="Times New Roman" w:hint="eastAsia"/>
          <w:sz w:val="28"/>
          <w:szCs w:val="28"/>
        </w:rPr>
        <w:t>。</w:t>
      </w:r>
    </w:p>
    <w:p w:rsidR="00F30BF4" w:rsidRPr="00AE19BF" w:rsidRDefault="00F30BF4" w:rsidP="00F248E8">
      <w:pPr>
        <w:pStyle w:val="a4"/>
        <w:spacing w:beforeLines="50" w:afterLines="50" w:line="500" w:lineRule="exact"/>
        <w:ind w:leftChars="0" w:left="1202"/>
        <w:jc w:val="both"/>
        <w:rPr>
          <w:rFonts w:ascii="Times New Roman" w:eastAsia="標楷體" w:hAnsi="Times New Roman"/>
          <w:sz w:val="28"/>
          <w:szCs w:val="32"/>
        </w:rPr>
      </w:pPr>
      <w:r w:rsidRPr="00AE19BF">
        <w:rPr>
          <w:rFonts w:ascii="Times New Roman" w:eastAsia="標楷體" w:hAnsi="Times New Roman"/>
          <w:sz w:val="28"/>
          <w:szCs w:val="32"/>
        </w:rPr>
        <w:t>D</w:t>
      </w:r>
      <w:r w:rsidRPr="00AE19BF">
        <w:rPr>
          <w:rFonts w:ascii="Times New Roman" w:eastAsia="標楷體" w:hAnsi="Times New Roman" w:hint="eastAsia"/>
          <w:sz w:val="28"/>
          <w:szCs w:val="32"/>
        </w:rPr>
        <w:t>銀行於</w:t>
      </w:r>
      <w:r w:rsidRPr="00AE19BF">
        <w:rPr>
          <w:rFonts w:ascii="Times New Roman" w:eastAsia="標楷體" w:hAnsi="Times New Roman"/>
          <w:sz w:val="28"/>
          <w:szCs w:val="32"/>
        </w:rPr>
        <w:t>2018/12/31</w:t>
      </w:r>
      <w:r w:rsidRPr="00AE19BF">
        <w:rPr>
          <w:rFonts w:ascii="Times New Roman" w:eastAsia="標楷體" w:hAnsi="Times New Roman" w:hint="eastAsia"/>
          <w:sz w:val="28"/>
          <w:szCs w:val="32"/>
        </w:rPr>
        <w:t>報導日判斷該筆債券信用評等為</w:t>
      </w:r>
      <w:r w:rsidRPr="00AE19BF">
        <w:rPr>
          <w:rFonts w:ascii="Times New Roman" w:eastAsia="標楷體" w:hAnsi="Times New Roman"/>
          <w:sz w:val="28"/>
          <w:szCs w:val="32"/>
        </w:rPr>
        <w:t>B+</w:t>
      </w:r>
      <w:r w:rsidRPr="00AE19BF">
        <w:rPr>
          <w:rFonts w:ascii="Times New Roman" w:eastAsia="標楷體" w:hAnsi="Times New Roman" w:hint="eastAsia"/>
          <w:sz w:val="28"/>
          <w:szCs w:val="32"/>
        </w:rPr>
        <w:t>，經綜合判斷該筆債券之信用風險</w:t>
      </w:r>
      <w:r w:rsidR="00DF4436" w:rsidRPr="00AE19BF">
        <w:rPr>
          <w:rFonts w:ascii="Times New Roman" w:eastAsia="標楷體" w:hAnsi="Times New Roman" w:hint="eastAsia"/>
          <w:sz w:val="28"/>
          <w:szCs w:val="32"/>
        </w:rPr>
        <w:t>已</w:t>
      </w:r>
      <w:r w:rsidRPr="00AE19BF">
        <w:rPr>
          <w:rFonts w:ascii="Times New Roman" w:eastAsia="標楷體" w:hAnsi="Times New Roman" w:hint="eastAsia"/>
          <w:sz w:val="28"/>
          <w:szCs w:val="32"/>
        </w:rPr>
        <w:t>顯著增加，因此，需估算其未來存續期間之預期信用損失，相關資料列示於下表：</w:t>
      </w:r>
    </w:p>
    <w:tbl>
      <w:tblPr>
        <w:tblStyle w:val="-6"/>
        <w:tblW w:w="4558" w:type="pct"/>
        <w:tblInd w:w="1242" w:type="dxa"/>
        <w:tblLook w:val="04A0"/>
      </w:tblPr>
      <w:tblGrid>
        <w:gridCol w:w="854"/>
        <w:gridCol w:w="1558"/>
        <w:gridCol w:w="1277"/>
        <w:gridCol w:w="1558"/>
        <w:gridCol w:w="1984"/>
        <w:gridCol w:w="1234"/>
      </w:tblGrid>
      <w:tr w:rsidR="00F30BF4" w:rsidRPr="00AE19BF" w:rsidTr="00F30BF4">
        <w:trPr>
          <w:cnfStyle w:val="100000000000"/>
          <w:tblHeader/>
        </w:trPr>
        <w:tc>
          <w:tcPr>
            <w:cnfStyle w:val="001000000000"/>
            <w:tcW w:w="505" w:type="pct"/>
            <w:hideMark/>
          </w:tcPr>
          <w:p w:rsidR="00F30BF4" w:rsidRPr="00AE19BF" w:rsidRDefault="00F30BF4" w:rsidP="00AE19BF">
            <w:pPr>
              <w:spacing w:line="500" w:lineRule="exact"/>
              <w:jc w:val="center"/>
              <w:textAlignment w:val="bottom"/>
              <w:rPr>
                <w:rFonts w:ascii="Times New Roman" w:eastAsia="標楷體" w:hAnsi="Times New Roman" w:cs="Times New Roman"/>
                <w:b w:val="0"/>
                <w:szCs w:val="24"/>
              </w:rPr>
            </w:pPr>
            <w:r w:rsidRPr="00AE19BF">
              <w:rPr>
                <w:rFonts w:ascii="Times New Roman" w:eastAsia="標楷體" w:hAnsi="Times New Roman" w:cs="Times New Roman" w:hint="eastAsia"/>
                <w:b w:val="0"/>
                <w:kern w:val="24"/>
                <w:szCs w:val="24"/>
                <w:lang w:val="en-GB"/>
              </w:rPr>
              <w:lastRenderedPageBreak/>
              <w:t>累積違約</w:t>
            </w:r>
            <w:r w:rsidRPr="00AE19BF">
              <w:rPr>
                <w:rFonts w:ascii="Times New Roman" w:eastAsia="標楷體" w:hAnsi="Times New Roman" w:cs="Times New Roman"/>
                <w:b w:val="0"/>
                <w:kern w:val="24"/>
                <w:szCs w:val="24"/>
                <w:lang w:val="en-GB"/>
              </w:rPr>
              <w:br/>
            </w:r>
            <w:r w:rsidRPr="00AE19BF">
              <w:rPr>
                <w:rFonts w:ascii="Times New Roman" w:eastAsia="標楷體" w:hAnsi="Times New Roman" w:cs="Times New Roman" w:hint="eastAsia"/>
                <w:b w:val="0"/>
                <w:kern w:val="24"/>
                <w:szCs w:val="24"/>
                <w:lang w:val="en-GB"/>
              </w:rPr>
              <w:t>機率</w:t>
            </w:r>
          </w:p>
        </w:tc>
        <w:tc>
          <w:tcPr>
            <w:tcW w:w="920" w:type="pct"/>
            <w:hideMark/>
          </w:tcPr>
          <w:p w:rsidR="00F30BF4" w:rsidRPr="00AE19BF" w:rsidRDefault="00F30BF4" w:rsidP="00AE19BF">
            <w:pPr>
              <w:spacing w:line="500" w:lineRule="exact"/>
              <w:jc w:val="center"/>
              <w:textAlignment w:val="bottom"/>
              <w:cnfStyle w:val="100000000000"/>
              <w:rPr>
                <w:rFonts w:ascii="Times New Roman" w:eastAsia="標楷體" w:hAnsi="Times New Roman" w:cs="Times New Roman"/>
                <w:b w:val="0"/>
                <w:szCs w:val="24"/>
              </w:rPr>
            </w:pPr>
            <w:r w:rsidRPr="00AE19BF">
              <w:rPr>
                <w:rFonts w:ascii="Times New Roman" w:eastAsia="標楷體" w:hAnsi="Times New Roman" w:cs="Times New Roman" w:hint="eastAsia"/>
                <w:b w:val="0"/>
                <w:kern w:val="24"/>
                <w:szCs w:val="24"/>
                <w:lang w:val="en-GB"/>
              </w:rPr>
              <w:t>違約損失率</w:t>
            </w:r>
          </w:p>
        </w:tc>
        <w:tc>
          <w:tcPr>
            <w:tcW w:w="754" w:type="pct"/>
            <w:hideMark/>
          </w:tcPr>
          <w:p w:rsidR="00F30BF4" w:rsidRPr="00AE19BF" w:rsidRDefault="00F30BF4" w:rsidP="00AE19BF">
            <w:pPr>
              <w:spacing w:line="500" w:lineRule="exact"/>
              <w:jc w:val="center"/>
              <w:textAlignment w:val="bottom"/>
              <w:cnfStyle w:val="100000000000"/>
              <w:rPr>
                <w:rFonts w:ascii="Times New Roman" w:eastAsia="標楷體" w:hAnsi="Times New Roman" w:cs="Times New Roman"/>
                <w:b w:val="0"/>
                <w:szCs w:val="24"/>
              </w:rPr>
            </w:pPr>
            <w:r w:rsidRPr="00AE19BF">
              <w:rPr>
                <w:rFonts w:ascii="Times New Roman" w:eastAsia="標楷體" w:hAnsi="Times New Roman" w:cs="Times New Roman" w:hint="eastAsia"/>
                <w:b w:val="0"/>
                <w:kern w:val="24"/>
                <w:szCs w:val="24"/>
                <w:lang w:val="en-GB"/>
              </w:rPr>
              <w:t>應收利息</w:t>
            </w:r>
          </w:p>
        </w:tc>
        <w:tc>
          <w:tcPr>
            <w:tcW w:w="920" w:type="pct"/>
          </w:tcPr>
          <w:p w:rsidR="00F30BF4" w:rsidRPr="00AE19BF" w:rsidRDefault="00F30BF4" w:rsidP="00AE19BF">
            <w:pPr>
              <w:spacing w:line="500" w:lineRule="exact"/>
              <w:jc w:val="center"/>
              <w:textAlignment w:val="bottom"/>
              <w:cnfStyle w:val="100000000000"/>
              <w:rPr>
                <w:rFonts w:ascii="Times New Roman" w:eastAsia="標楷體" w:hAnsi="Times New Roman" w:cs="Times New Roman"/>
                <w:b w:val="0"/>
                <w:kern w:val="24"/>
                <w:szCs w:val="24"/>
                <w:lang w:val="en-GB"/>
              </w:rPr>
            </w:pPr>
            <w:r w:rsidRPr="00AE19BF">
              <w:rPr>
                <w:rFonts w:ascii="Times New Roman" w:eastAsia="標楷體" w:hAnsi="Times New Roman" w:cs="Times New Roman" w:hint="eastAsia"/>
                <w:b w:val="0"/>
                <w:kern w:val="24"/>
                <w:szCs w:val="24"/>
                <w:lang w:val="en-GB"/>
              </w:rPr>
              <w:t>債券</w:t>
            </w:r>
            <w:proofErr w:type="gramStart"/>
            <w:r w:rsidRPr="00AE19BF">
              <w:rPr>
                <w:rFonts w:ascii="Times New Roman" w:eastAsia="標楷體" w:hAnsi="Times New Roman" w:cs="Times New Roman" w:hint="eastAsia"/>
                <w:b w:val="0"/>
                <w:kern w:val="24"/>
                <w:szCs w:val="24"/>
                <w:lang w:val="en-GB"/>
              </w:rPr>
              <w:t>帳面</w:t>
            </w:r>
            <w:proofErr w:type="gramEnd"/>
            <w:r w:rsidRPr="00AE19BF">
              <w:rPr>
                <w:rFonts w:ascii="Times New Roman" w:eastAsia="標楷體" w:hAnsi="Times New Roman" w:cs="Times New Roman" w:hint="eastAsia"/>
                <w:b w:val="0"/>
                <w:kern w:val="24"/>
                <w:szCs w:val="24"/>
                <w:lang w:val="en-GB"/>
              </w:rPr>
              <w:t>金額</w:t>
            </w:r>
            <w:r w:rsidRPr="00AE19BF">
              <w:rPr>
                <w:rFonts w:ascii="Times New Roman" w:eastAsia="標楷體" w:hAnsi="Times New Roman" w:cs="Times New Roman" w:hint="eastAsia"/>
                <w:b w:val="0"/>
                <w:kern w:val="24"/>
                <w:szCs w:val="24"/>
                <w:lang w:val="en-GB"/>
              </w:rPr>
              <w:t>(</w:t>
            </w:r>
            <w:r w:rsidRPr="00AE19BF">
              <w:rPr>
                <w:rFonts w:ascii="Times New Roman" w:eastAsia="標楷體" w:hAnsi="Times New Roman" w:cs="Times New Roman" w:hint="eastAsia"/>
                <w:b w:val="0"/>
                <w:kern w:val="24"/>
                <w:szCs w:val="24"/>
                <w:lang w:val="en-GB"/>
              </w:rPr>
              <w:t>不含應收利息且未扣除累計減損</w:t>
            </w:r>
            <w:r w:rsidRPr="00AE19BF">
              <w:rPr>
                <w:rFonts w:ascii="Times New Roman" w:eastAsia="標楷體" w:hAnsi="Times New Roman" w:cs="Times New Roman" w:hint="eastAsia"/>
                <w:b w:val="0"/>
                <w:kern w:val="24"/>
                <w:szCs w:val="24"/>
                <w:lang w:val="en-GB"/>
              </w:rPr>
              <w:t>)</w:t>
            </w:r>
          </w:p>
        </w:tc>
        <w:tc>
          <w:tcPr>
            <w:tcW w:w="1172" w:type="pct"/>
          </w:tcPr>
          <w:p w:rsidR="00F30BF4" w:rsidRPr="00AE19BF" w:rsidRDefault="00F30BF4" w:rsidP="00AE19BF">
            <w:pPr>
              <w:spacing w:line="500" w:lineRule="exact"/>
              <w:jc w:val="center"/>
              <w:textAlignment w:val="bottom"/>
              <w:cnfStyle w:val="100000000000"/>
              <w:rPr>
                <w:rFonts w:ascii="Times New Roman" w:eastAsia="標楷體" w:hAnsi="Times New Roman" w:cs="Times New Roman"/>
                <w:b w:val="0"/>
                <w:kern w:val="24"/>
                <w:szCs w:val="24"/>
                <w:lang w:val="en-GB"/>
              </w:rPr>
            </w:pPr>
            <w:r w:rsidRPr="00AE19BF">
              <w:rPr>
                <w:rFonts w:ascii="Times New Roman" w:eastAsia="標楷體" w:hAnsi="Times New Roman" w:cs="Times New Roman" w:hint="eastAsia"/>
                <w:b w:val="0"/>
                <w:kern w:val="24"/>
                <w:szCs w:val="24"/>
                <w:lang w:val="en-GB"/>
              </w:rPr>
              <w:t>總</w:t>
            </w:r>
            <w:proofErr w:type="gramStart"/>
            <w:r w:rsidRPr="00AE19BF">
              <w:rPr>
                <w:rFonts w:ascii="Times New Roman" w:eastAsia="標楷體" w:hAnsi="Times New Roman" w:cs="Times New Roman" w:hint="eastAsia"/>
                <w:b w:val="0"/>
                <w:kern w:val="24"/>
                <w:szCs w:val="24"/>
                <w:lang w:val="en-GB"/>
              </w:rPr>
              <w:t>帳面</w:t>
            </w:r>
            <w:proofErr w:type="gramEnd"/>
            <w:r w:rsidRPr="00AE19BF">
              <w:rPr>
                <w:rFonts w:ascii="Times New Roman" w:eastAsia="標楷體" w:hAnsi="Times New Roman" w:cs="Times New Roman" w:hint="eastAsia"/>
                <w:b w:val="0"/>
                <w:kern w:val="24"/>
                <w:szCs w:val="24"/>
                <w:lang w:val="en-GB"/>
              </w:rPr>
              <w:t>金額</w:t>
            </w:r>
            <w:r w:rsidRPr="00AE19BF">
              <w:rPr>
                <w:rFonts w:ascii="Times New Roman" w:eastAsia="標楷體" w:hAnsi="Times New Roman" w:cs="Times New Roman"/>
                <w:b w:val="0"/>
                <w:kern w:val="24"/>
                <w:szCs w:val="24"/>
                <w:lang w:val="en-GB"/>
              </w:rPr>
              <w:br/>
            </w:r>
            <w:r w:rsidRPr="00AE19BF">
              <w:rPr>
                <w:rFonts w:ascii="Times New Roman" w:eastAsia="標楷體" w:hAnsi="Times New Roman" w:cs="Times New Roman" w:hint="eastAsia"/>
                <w:b w:val="0"/>
                <w:kern w:val="24"/>
                <w:szCs w:val="24"/>
                <w:lang w:val="en-GB"/>
              </w:rPr>
              <w:t>(</w:t>
            </w:r>
            <w:r w:rsidRPr="00AE19BF">
              <w:rPr>
                <w:rFonts w:ascii="Times New Roman" w:eastAsia="標楷體" w:hAnsi="Times New Roman" w:cs="Times New Roman" w:hint="eastAsia"/>
                <w:b w:val="0"/>
                <w:kern w:val="24"/>
                <w:szCs w:val="24"/>
                <w:lang w:val="en-GB"/>
              </w:rPr>
              <w:t>含應收利息且未扣除累計減損</w:t>
            </w:r>
            <w:r w:rsidRPr="00AE19BF">
              <w:rPr>
                <w:rFonts w:ascii="Times New Roman" w:eastAsia="標楷體" w:hAnsi="Times New Roman" w:cs="Times New Roman" w:hint="eastAsia"/>
                <w:b w:val="0"/>
                <w:kern w:val="24"/>
                <w:szCs w:val="24"/>
                <w:lang w:val="en-GB"/>
              </w:rPr>
              <w:t>)</w:t>
            </w:r>
          </w:p>
        </w:tc>
        <w:tc>
          <w:tcPr>
            <w:tcW w:w="730" w:type="pct"/>
          </w:tcPr>
          <w:p w:rsidR="00F30BF4" w:rsidRPr="00AE19BF" w:rsidRDefault="00F30BF4" w:rsidP="00AE19BF">
            <w:pPr>
              <w:spacing w:line="500" w:lineRule="exact"/>
              <w:jc w:val="center"/>
              <w:textAlignment w:val="bottom"/>
              <w:cnfStyle w:val="100000000000"/>
              <w:rPr>
                <w:rFonts w:ascii="Times New Roman" w:eastAsia="標楷體" w:hAnsi="Times New Roman" w:cs="Times New Roman"/>
                <w:b w:val="0"/>
                <w:kern w:val="24"/>
                <w:szCs w:val="24"/>
                <w:lang w:val="en-GB"/>
              </w:rPr>
            </w:pPr>
            <w:r w:rsidRPr="00AE19BF">
              <w:rPr>
                <w:rFonts w:ascii="Times New Roman" w:eastAsia="標楷體" w:hAnsi="Times New Roman" w:cs="Times New Roman" w:hint="eastAsia"/>
                <w:b w:val="0"/>
                <w:kern w:val="24"/>
                <w:szCs w:val="24"/>
                <w:lang w:val="en-GB"/>
              </w:rPr>
              <w:t>減損金額</w:t>
            </w:r>
          </w:p>
        </w:tc>
      </w:tr>
      <w:tr w:rsidR="00F30BF4" w:rsidRPr="00AE19BF" w:rsidTr="00F30BF4">
        <w:trPr>
          <w:cnfStyle w:val="000000100000"/>
        </w:trPr>
        <w:tc>
          <w:tcPr>
            <w:cnfStyle w:val="001000000000"/>
            <w:tcW w:w="505" w:type="pct"/>
            <w:hideMark/>
          </w:tcPr>
          <w:p w:rsidR="00F30BF4" w:rsidRPr="00AE19BF" w:rsidRDefault="00F30BF4" w:rsidP="00AE19BF">
            <w:pPr>
              <w:spacing w:after="200" w:line="500" w:lineRule="exact"/>
              <w:jc w:val="center"/>
              <w:textAlignment w:val="bottom"/>
              <w:rPr>
                <w:rFonts w:ascii="Times New Roman" w:eastAsia="標楷體" w:hAnsi="Times New Roman" w:cs="Times New Roman"/>
                <w:b w:val="0"/>
                <w:szCs w:val="24"/>
              </w:rPr>
            </w:pPr>
            <w:r w:rsidRPr="00AE19BF">
              <w:rPr>
                <w:rFonts w:ascii="Times New Roman" w:eastAsia="標楷體" w:hAnsi="Times New Roman" w:cs="Times New Roman"/>
                <w:b w:val="0"/>
                <w:color w:val="000000" w:themeColor="text1"/>
                <w:kern w:val="24"/>
                <w:szCs w:val="24"/>
                <w:lang w:val="en-GB"/>
              </w:rPr>
              <w:t>A</w:t>
            </w:r>
          </w:p>
        </w:tc>
        <w:tc>
          <w:tcPr>
            <w:tcW w:w="920" w:type="pct"/>
            <w:hideMark/>
          </w:tcPr>
          <w:p w:rsidR="00F30BF4" w:rsidRPr="00AE19BF" w:rsidRDefault="00F30BF4" w:rsidP="00AE19BF">
            <w:pPr>
              <w:spacing w:after="200" w:line="500" w:lineRule="exact"/>
              <w:jc w:val="center"/>
              <w:textAlignment w:val="bottom"/>
              <w:cnfStyle w:val="000000100000"/>
              <w:rPr>
                <w:rFonts w:ascii="Times New Roman" w:eastAsia="標楷體" w:hAnsi="Times New Roman" w:cs="Times New Roman"/>
                <w:szCs w:val="24"/>
              </w:rPr>
            </w:pPr>
            <w:r w:rsidRPr="00AE19BF">
              <w:rPr>
                <w:rFonts w:ascii="Times New Roman" w:eastAsia="標楷體" w:hAnsi="Times New Roman" w:cs="Times New Roman"/>
                <w:color w:val="000000" w:themeColor="text1"/>
                <w:kern w:val="24"/>
                <w:szCs w:val="24"/>
                <w:lang w:val="en-GB"/>
              </w:rPr>
              <w:t>B</w:t>
            </w:r>
          </w:p>
        </w:tc>
        <w:tc>
          <w:tcPr>
            <w:tcW w:w="754" w:type="pct"/>
            <w:hideMark/>
          </w:tcPr>
          <w:p w:rsidR="00F30BF4" w:rsidRPr="00AE19BF" w:rsidRDefault="00F30BF4" w:rsidP="00AE19BF">
            <w:pPr>
              <w:spacing w:after="200" w:line="500" w:lineRule="exact"/>
              <w:jc w:val="center"/>
              <w:textAlignment w:val="bottom"/>
              <w:cnfStyle w:val="000000100000"/>
              <w:rPr>
                <w:rFonts w:ascii="Times New Roman" w:eastAsia="標楷體" w:hAnsi="Times New Roman" w:cs="Times New Roman"/>
                <w:szCs w:val="24"/>
              </w:rPr>
            </w:pPr>
            <w:r w:rsidRPr="00AE19BF">
              <w:rPr>
                <w:rFonts w:ascii="Times New Roman" w:eastAsia="標楷體" w:hAnsi="Times New Roman" w:cs="Times New Roman"/>
                <w:color w:val="000000" w:themeColor="text1"/>
                <w:kern w:val="24"/>
                <w:szCs w:val="24"/>
                <w:lang w:val="en-GB"/>
              </w:rPr>
              <w:t>C</w:t>
            </w:r>
          </w:p>
        </w:tc>
        <w:tc>
          <w:tcPr>
            <w:tcW w:w="920" w:type="pct"/>
          </w:tcPr>
          <w:p w:rsidR="00F30BF4" w:rsidRPr="00AE19BF" w:rsidRDefault="00F30BF4" w:rsidP="00AE19BF">
            <w:pPr>
              <w:spacing w:after="200" w:line="500" w:lineRule="exact"/>
              <w:jc w:val="center"/>
              <w:textAlignment w:val="bottom"/>
              <w:cnfStyle w:val="000000100000"/>
              <w:rPr>
                <w:rFonts w:ascii="Times New Roman" w:eastAsia="標楷體" w:hAnsi="Times New Roman" w:cs="Times New Roman"/>
                <w:color w:val="000000" w:themeColor="text1"/>
                <w:kern w:val="24"/>
                <w:szCs w:val="24"/>
                <w:lang w:val="en-GB"/>
              </w:rPr>
            </w:pPr>
            <w:r w:rsidRPr="00AE19BF">
              <w:rPr>
                <w:rFonts w:ascii="Times New Roman" w:eastAsia="標楷體" w:hAnsi="Times New Roman" w:cs="Times New Roman"/>
                <w:color w:val="000000" w:themeColor="text1"/>
                <w:kern w:val="24"/>
                <w:szCs w:val="24"/>
                <w:lang w:val="en-GB"/>
              </w:rPr>
              <w:t>D</w:t>
            </w:r>
          </w:p>
        </w:tc>
        <w:tc>
          <w:tcPr>
            <w:tcW w:w="1172" w:type="pct"/>
          </w:tcPr>
          <w:p w:rsidR="00F30BF4" w:rsidRPr="00AE19BF" w:rsidRDefault="00F30BF4" w:rsidP="00AE19BF">
            <w:pPr>
              <w:spacing w:after="200" w:line="500" w:lineRule="exact"/>
              <w:jc w:val="center"/>
              <w:textAlignment w:val="bottom"/>
              <w:cnfStyle w:val="000000100000"/>
              <w:rPr>
                <w:rFonts w:ascii="Times New Roman" w:eastAsia="標楷體" w:hAnsi="Times New Roman" w:cs="Times New Roman"/>
                <w:color w:val="000000" w:themeColor="text1"/>
                <w:kern w:val="24"/>
                <w:szCs w:val="24"/>
                <w:lang w:val="en-GB"/>
              </w:rPr>
            </w:pPr>
            <w:r w:rsidRPr="00AE19BF">
              <w:rPr>
                <w:rFonts w:ascii="Times New Roman" w:eastAsia="標楷體" w:hAnsi="Times New Roman" w:cs="Times New Roman"/>
                <w:color w:val="000000" w:themeColor="text1"/>
                <w:kern w:val="24"/>
                <w:szCs w:val="24"/>
                <w:lang w:val="en-GB"/>
              </w:rPr>
              <w:t>E=C+D</w:t>
            </w:r>
          </w:p>
        </w:tc>
        <w:tc>
          <w:tcPr>
            <w:tcW w:w="730" w:type="pct"/>
          </w:tcPr>
          <w:p w:rsidR="00F30BF4" w:rsidRPr="00AE19BF" w:rsidRDefault="00F30BF4" w:rsidP="00AE19BF">
            <w:pPr>
              <w:spacing w:after="200" w:line="500" w:lineRule="exact"/>
              <w:jc w:val="center"/>
              <w:textAlignment w:val="bottom"/>
              <w:cnfStyle w:val="000000100000"/>
              <w:rPr>
                <w:rFonts w:ascii="Times New Roman" w:eastAsia="標楷體" w:hAnsi="Times New Roman" w:cs="Times New Roman"/>
                <w:color w:val="000000" w:themeColor="text1"/>
                <w:kern w:val="24"/>
                <w:szCs w:val="24"/>
                <w:lang w:val="en-GB"/>
              </w:rPr>
            </w:pPr>
            <w:r w:rsidRPr="00AE19BF">
              <w:rPr>
                <w:rFonts w:ascii="Times New Roman" w:eastAsia="標楷體" w:hAnsi="Times New Roman" w:cs="Times New Roman"/>
                <w:color w:val="000000" w:themeColor="text1"/>
                <w:kern w:val="24"/>
                <w:szCs w:val="24"/>
                <w:lang w:val="en-GB"/>
              </w:rPr>
              <w:t>F=A*B*E</w:t>
            </w:r>
          </w:p>
        </w:tc>
      </w:tr>
      <w:tr w:rsidR="00F30BF4" w:rsidRPr="00AE19BF" w:rsidTr="00F30BF4">
        <w:tc>
          <w:tcPr>
            <w:cnfStyle w:val="001000000000"/>
            <w:tcW w:w="505" w:type="pct"/>
            <w:hideMark/>
          </w:tcPr>
          <w:p w:rsidR="00F30BF4" w:rsidRPr="00AE19BF" w:rsidRDefault="00F30BF4" w:rsidP="00AE19BF">
            <w:pPr>
              <w:spacing w:line="500" w:lineRule="exact"/>
              <w:jc w:val="center"/>
              <w:rPr>
                <w:rFonts w:ascii="Times New Roman" w:eastAsia="標楷體" w:hAnsi="Times New Roman" w:cs="Times New Roman"/>
                <w:b w:val="0"/>
                <w:szCs w:val="24"/>
              </w:rPr>
            </w:pPr>
            <w:r w:rsidRPr="00AE19BF">
              <w:rPr>
                <w:rFonts w:ascii="Times New Roman" w:eastAsia="標楷體" w:hAnsi="Times New Roman" w:cs="Times New Roman" w:hint="eastAsia"/>
                <w:b w:val="0"/>
                <w:kern w:val="24"/>
                <w:szCs w:val="24"/>
              </w:rPr>
              <w:t>8.41%</w:t>
            </w:r>
          </w:p>
        </w:tc>
        <w:tc>
          <w:tcPr>
            <w:tcW w:w="920" w:type="pct"/>
            <w:hideMark/>
          </w:tcPr>
          <w:p w:rsidR="00F30BF4" w:rsidRPr="00AE19BF" w:rsidRDefault="00F30BF4" w:rsidP="00AE19BF">
            <w:pPr>
              <w:spacing w:line="500" w:lineRule="exact"/>
              <w:jc w:val="center"/>
              <w:cnfStyle w:val="000000000000"/>
              <w:rPr>
                <w:rFonts w:ascii="Times New Roman" w:eastAsia="標楷體" w:hAnsi="Times New Roman" w:cs="Times New Roman"/>
                <w:szCs w:val="24"/>
              </w:rPr>
            </w:pPr>
            <w:r w:rsidRPr="00AE19BF">
              <w:rPr>
                <w:rFonts w:ascii="Times New Roman" w:eastAsia="標楷體" w:hAnsi="Times New Roman" w:cs="Times New Roman" w:hint="eastAsia"/>
                <w:kern w:val="24"/>
                <w:szCs w:val="24"/>
                <w:lang w:val="en-GB"/>
              </w:rPr>
              <w:t>65</w:t>
            </w:r>
            <w:r w:rsidRPr="00AE19BF">
              <w:rPr>
                <w:rFonts w:ascii="Times New Roman" w:eastAsia="標楷體" w:hAnsi="Times New Roman" w:cs="Times New Roman"/>
                <w:kern w:val="24"/>
                <w:szCs w:val="24"/>
                <w:lang w:val="en-GB"/>
              </w:rPr>
              <w:t>%</w:t>
            </w:r>
          </w:p>
        </w:tc>
        <w:tc>
          <w:tcPr>
            <w:tcW w:w="754" w:type="pct"/>
            <w:hideMark/>
          </w:tcPr>
          <w:p w:rsidR="00F30BF4" w:rsidRPr="00AE19BF" w:rsidRDefault="00F30BF4" w:rsidP="00AE19BF">
            <w:pPr>
              <w:spacing w:line="500" w:lineRule="exact"/>
              <w:jc w:val="center"/>
              <w:cnfStyle w:val="000000000000"/>
              <w:rPr>
                <w:rFonts w:ascii="Times New Roman" w:eastAsia="標楷體" w:hAnsi="Times New Roman" w:cs="Times New Roman"/>
                <w:szCs w:val="24"/>
              </w:rPr>
            </w:pPr>
            <w:r w:rsidRPr="00AE19BF">
              <w:rPr>
                <w:rFonts w:ascii="Times New Roman" w:eastAsia="標楷體" w:hAnsi="Times New Roman" w:cs="Times New Roman" w:hint="eastAsia"/>
                <w:szCs w:val="24"/>
              </w:rPr>
              <w:t>0</w:t>
            </w:r>
          </w:p>
        </w:tc>
        <w:tc>
          <w:tcPr>
            <w:tcW w:w="920" w:type="pct"/>
          </w:tcPr>
          <w:p w:rsidR="00F30BF4" w:rsidRPr="00AE19BF" w:rsidRDefault="00F30BF4" w:rsidP="00AE19BF">
            <w:pPr>
              <w:spacing w:line="500" w:lineRule="exact"/>
              <w:jc w:val="center"/>
              <w:cnfStyle w:val="000000000000"/>
              <w:rPr>
                <w:rFonts w:ascii="Times New Roman" w:eastAsia="標楷體" w:hAnsi="Times New Roman" w:cs="Times New Roman"/>
                <w:kern w:val="24"/>
                <w:szCs w:val="24"/>
                <w:lang w:val="en-GB"/>
              </w:rPr>
            </w:pPr>
            <w:r w:rsidRPr="00AE19BF">
              <w:rPr>
                <w:rFonts w:ascii="Times New Roman" w:eastAsia="標楷體" w:hAnsi="Times New Roman" w:cs="Times New Roman" w:hint="eastAsia"/>
                <w:kern w:val="24"/>
                <w:szCs w:val="24"/>
                <w:lang w:val="en-GB"/>
              </w:rPr>
              <w:t>482,674</w:t>
            </w:r>
          </w:p>
        </w:tc>
        <w:tc>
          <w:tcPr>
            <w:tcW w:w="1172" w:type="pct"/>
          </w:tcPr>
          <w:p w:rsidR="00F30BF4" w:rsidRPr="00AE19BF" w:rsidRDefault="00F30BF4" w:rsidP="00AE19BF">
            <w:pPr>
              <w:spacing w:line="500" w:lineRule="exact"/>
              <w:jc w:val="center"/>
              <w:cnfStyle w:val="000000000000"/>
              <w:rPr>
                <w:rFonts w:ascii="Times New Roman" w:eastAsia="標楷體" w:hAnsi="Times New Roman" w:cs="Times New Roman"/>
                <w:kern w:val="24"/>
                <w:szCs w:val="24"/>
                <w:lang w:val="en-GB"/>
              </w:rPr>
            </w:pPr>
            <w:r w:rsidRPr="00AE19BF">
              <w:rPr>
                <w:rFonts w:ascii="Times New Roman" w:eastAsia="標楷體" w:hAnsi="Times New Roman" w:cs="Times New Roman" w:hint="eastAsia"/>
                <w:kern w:val="24"/>
                <w:szCs w:val="24"/>
                <w:lang w:val="en-GB"/>
              </w:rPr>
              <w:t>482,674</w:t>
            </w:r>
          </w:p>
        </w:tc>
        <w:tc>
          <w:tcPr>
            <w:tcW w:w="730" w:type="pct"/>
          </w:tcPr>
          <w:p w:rsidR="00F30BF4" w:rsidRPr="00AE19BF" w:rsidRDefault="00F30BF4" w:rsidP="00AE19BF">
            <w:pPr>
              <w:spacing w:line="500" w:lineRule="exact"/>
              <w:jc w:val="center"/>
              <w:cnfStyle w:val="000000000000"/>
              <w:rPr>
                <w:rFonts w:ascii="Times New Roman" w:eastAsia="標楷體" w:hAnsi="Times New Roman" w:cs="Times New Roman"/>
                <w:kern w:val="24"/>
                <w:szCs w:val="24"/>
                <w:lang w:val="en-GB"/>
              </w:rPr>
            </w:pPr>
            <w:r w:rsidRPr="00AE19BF">
              <w:rPr>
                <w:rFonts w:ascii="Times New Roman" w:eastAsia="標楷體" w:hAnsi="Times New Roman" w:cs="Times New Roman" w:hint="eastAsia"/>
                <w:kern w:val="24"/>
                <w:szCs w:val="24"/>
                <w:lang w:val="en-GB"/>
              </w:rPr>
              <w:t>26,385</w:t>
            </w:r>
          </w:p>
        </w:tc>
      </w:tr>
    </w:tbl>
    <w:p w:rsidR="00F30BF4" w:rsidRPr="00AE19BF" w:rsidRDefault="00F30BF4" w:rsidP="00F248E8">
      <w:pPr>
        <w:pStyle w:val="a4"/>
        <w:spacing w:afterLines="50" w:line="500" w:lineRule="exact"/>
        <w:ind w:leftChars="0" w:left="1200"/>
        <w:jc w:val="both"/>
        <w:rPr>
          <w:rFonts w:ascii="Times New Roman" w:eastAsia="標楷體" w:hAnsi="Times New Roman"/>
          <w:sz w:val="28"/>
          <w:szCs w:val="32"/>
        </w:rPr>
      </w:pPr>
      <w:proofErr w:type="gramStart"/>
      <w:r w:rsidRPr="00AE19BF">
        <w:rPr>
          <w:rFonts w:ascii="Times New Roman" w:eastAsia="標楷體" w:hAnsi="Times New Roman" w:hint="eastAsia"/>
          <w:sz w:val="28"/>
          <w:szCs w:val="32"/>
        </w:rPr>
        <w:t>註</w:t>
      </w:r>
      <w:proofErr w:type="gramEnd"/>
      <w:r w:rsidRPr="00AE19BF">
        <w:rPr>
          <w:rFonts w:ascii="Times New Roman" w:eastAsia="標楷體" w:hAnsi="Times New Roman" w:hint="eastAsia"/>
          <w:sz w:val="28"/>
          <w:szCs w:val="32"/>
        </w:rPr>
        <w:t>：</w:t>
      </w:r>
      <w:r w:rsidRPr="00AE19BF">
        <w:rPr>
          <w:rFonts w:ascii="Times New Roman" w:eastAsia="標楷體" w:hAnsi="Times New Roman"/>
          <w:sz w:val="28"/>
          <w:szCs w:val="32"/>
        </w:rPr>
        <w:t>2018/12/31</w:t>
      </w:r>
      <w:r w:rsidRPr="00AE19BF">
        <w:rPr>
          <w:rFonts w:ascii="Times New Roman" w:eastAsia="標楷體" w:hAnsi="Times New Roman" w:hint="eastAsia"/>
          <w:sz w:val="28"/>
          <w:szCs w:val="32"/>
        </w:rPr>
        <w:t>時，該債券之發行公司已依約還息，</w:t>
      </w:r>
      <w:proofErr w:type="gramStart"/>
      <w:r w:rsidR="00DF4436" w:rsidRPr="00AE19BF">
        <w:rPr>
          <w:rFonts w:ascii="Times New Roman" w:eastAsia="標楷體" w:hAnsi="Times New Roman" w:hint="eastAsia"/>
          <w:sz w:val="28"/>
          <w:szCs w:val="32"/>
        </w:rPr>
        <w:t>故</w:t>
      </w:r>
      <w:r w:rsidRPr="00AE19BF">
        <w:rPr>
          <w:rFonts w:ascii="Times New Roman" w:eastAsia="標楷體" w:hAnsi="Times New Roman" w:hint="eastAsia"/>
          <w:sz w:val="28"/>
          <w:szCs w:val="32"/>
        </w:rPr>
        <w:t>無帳列</w:t>
      </w:r>
      <w:proofErr w:type="gramEnd"/>
      <w:r w:rsidRPr="00AE19BF">
        <w:rPr>
          <w:rFonts w:ascii="Times New Roman" w:eastAsia="標楷體" w:hAnsi="Times New Roman" w:hint="eastAsia"/>
          <w:sz w:val="28"/>
          <w:szCs w:val="32"/>
        </w:rPr>
        <w:t>應收利息。</w:t>
      </w:r>
    </w:p>
    <w:p w:rsidR="00F30BF4" w:rsidRPr="00AE19BF" w:rsidRDefault="00F30BF4" w:rsidP="00AE19BF">
      <w:pPr>
        <w:pStyle w:val="a4"/>
        <w:pBdr>
          <w:top w:val="single" w:sz="4" w:space="1" w:color="auto"/>
          <w:left w:val="single" w:sz="4" w:space="4" w:color="auto"/>
          <w:bottom w:val="single" w:sz="4" w:space="1" w:color="auto"/>
          <w:right w:val="single" w:sz="4" w:space="3" w:color="auto"/>
        </w:pBdr>
        <w:spacing w:before="120" w:line="500" w:lineRule="exact"/>
        <w:ind w:leftChars="0" w:left="1200"/>
        <w:jc w:val="both"/>
        <w:rPr>
          <w:rFonts w:ascii="Times New Roman" w:eastAsia="標楷體" w:hAnsi="Times New Roman" w:cs="Times New Roman"/>
          <w:sz w:val="28"/>
          <w:szCs w:val="32"/>
        </w:rPr>
      </w:pPr>
      <w:r w:rsidRPr="00AE19BF">
        <w:rPr>
          <w:rFonts w:ascii="Times New Roman" w:eastAsia="標楷體" w:hAnsi="Times New Roman" w:cs="Times New Roman" w:hint="eastAsia"/>
          <w:sz w:val="28"/>
          <w:szCs w:val="32"/>
        </w:rPr>
        <w:t>計算說明：</w:t>
      </w:r>
    </w:p>
    <w:p w:rsidR="00F30BF4" w:rsidRPr="00AE19BF" w:rsidRDefault="00F30BF4" w:rsidP="00AE19BF">
      <w:pPr>
        <w:pStyle w:val="a4"/>
        <w:pBdr>
          <w:top w:val="single" w:sz="4" w:space="1" w:color="auto"/>
          <w:left w:val="single" w:sz="4" w:space="4" w:color="auto"/>
          <w:bottom w:val="single" w:sz="4" w:space="1" w:color="auto"/>
          <w:right w:val="single" w:sz="4" w:space="3" w:color="auto"/>
        </w:pBdr>
        <w:spacing w:before="120" w:line="500" w:lineRule="exact"/>
        <w:ind w:leftChars="0" w:left="1200"/>
        <w:jc w:val="both"/>
        <w:rPr>
          <w:rFonts w:ascii="Times New Roman" w:eastAsia="標楷體" w:hAnsi="Times New Roman" w:cs="Times New Roman"/>
          <w:sz w:val="28"/>
          <w:szCs w:val="32"/>
        </w:rPr>
      </w:pPr>
      <w:r w:rsidRPr="00AE19BF">
        <w:rPr>
          <w:rFonts w:ascii="Times New Roman" w:eastAsia="標楷體" w:hAnsi="Times New Roman" w:cs="Times New Roman" w:hint="eastAsia"/>
          <w:sz w:val="28"/>
          <w:szCs w:val="32"/>
        </w:rPr>
        <w:t>考量該筆債券於</w:t>
      </w:r>
      <w:r w:rsidRPr="00AE19BF">
        <w:rPr>
          <w:rFonts w:ascii="Times New Roman" w:eastAsia="標楷體" w:hAnsi="Times New Roman" w:cs="Times New Roman"/>
          <w:sz w:val="28"/>
          <w:szCs w:val="32"/>
        </w:rPr>
        <w:t>2018/12/31</w:t>
      </w:r>
      <w:r w:rsidRPr="00AE19BF">
        <w:rPr>
          <w:rFonts w:ascii="Times New Roman" w:eastAsia="標楷體" w:hAnsi="Times New Roman" w:cs="Times New Roman" w:hint="eastAsia"/>
          <w:sz w:val="28"/>
          <w:szCs w:val="32"/>
        </w:rPr>
        <w:t>之總</w:t>
      </w:r>
      <w:proofErr w:type="gramStart"/>
      <w:r w:rsidRPr="00AE19BF">
        <w:rPr>
          <w:rFonts w:ascii="Times New Roman" w:eastAsia="標楷體" w:hAnsi="Times New Roman" w:cs="Times New Roman" w:hint="eastAsia"/>
          <w:sz w:val="28"/>
          <w:szCs w:val="32"/>
        </w:rPr>
        <w:t>帳面</w:t>
      </w:r>
      <w:proofErr w:type="gramEnd"/>
      <w:r w:rsidRPr="00AE19BF">
        <w:rPr>
          <w:rFonts w:ascii="Times New Roman" w:eastAsia="標楷體" w:hAnsi="Times New Roman" w:cs="Times New Roman" w:hint="eastAsia"/>
          <w:sz w:val="28"/>
          <w:szCs w:val="32"/>
        </w:rPr>
        <w:t>金額</w:t>
      </w:r>
      <w:r w:rsidRPr="00AE19BF">
        <w:rPr>
          <w:rFonts w:ascii="Times New Roman" w:eastAsia="標楷體" w:hAnsi="Times New Roman" w:cs="Times New Roman"/>
          <w:sz w:val="28"/>
          <w:szCs w:val="32"/>
        </w:rPr>
        <w:t>(</w:t>
      </w:r>
      <w:r w:rsidRPr="00AE19BF">
        <w:rPr>
          <w:rFonts w:ascii="Times New Roman" w:eastAsia="標楷體" w:hAnsi="Times New Roman" w:cs="Times New Roman" w:hint="eastAsia"/>
          <w:sz w:val="28"/>
          <w:szCs w:val="32"/>
        </w:rPr>
        <w:t>含應收利息且未扣除累計減損</w:t>
      </w:r>
      <w:r w:rsidRPr="00AE19BF">
        <w:rPr>
          <w:rFonts w:ascii="Times New Roman" w:eastAsia="標楷體" w:hAnsi="Times New Roman" w:cs="Times New Roman"/>
          <w:sz w:val="28"/>
          <w:szCs w:val="32"/>
        </w:rPr>
        <w:t>)</w:t>
      </w:r>
      <w:r w:rsidRPr="00AE19BF">
        <w:rPr>
          <w:rFonts w:ascii="Times New Roman" w:eastAsia="標楷體" w:hAnsi="Times New Roman" w:cs="Times New Roman" w:hint="eastAsia"/>
          <w:sz w:val="28"/>
          <w:szCs w:val="32"/>
        </w:rPr>
        <w:t>，並將預估之累積違約機率及違約損失率相乘後，即為減損金額。</w:t>
      </w:r>
    </w:p>
    <w:p w:rsidR="00F30BF4" w:rsidRPr="00AE19BF" w:rsidRDefault="00F30BF4" w:rsidP="00F248E8">
      <w:pPr>
        <w:pStyle w:val="a4"/>
        <w:spacing w:afterLines="50" w:line="500" w:lineRule="exact"/>
        <w:ind w:leftChars="0" w:left="1200"/>
        <w:jc w:val="both"/>
        <w:rPr>
          <w:rFonts w:ascii="Times New Roman" w:eastAsia="標楷體" w:hAnsi="Times New Roman"/>
          <w:sz w:val="28"/>
          <w:szCs w:val="32"/>
        </w:rPr>
      </w:pPr>
      <w:r w:rsidRPr="00AE19BF">
        <w:rPr>
          <w:rFonts w:ascii="Times New Roman" w:eastAsia="標楷體" w:hAnsi="Times New Roman" w:hint="eastAsia"/>
          <w:sz w:val="28"/>
          <w:szCs w:val="32"/>
        </w:rPr>
        <w:t>總</w:t>
      </w:r>
      <w:proofErr w:type="gramStart"/>
      <w:r w:rsidRPr="00AE19BF">
        <w:rPr>
          <w:rFonts w:ascii="Times New Roman" w:eastAsia="標楷體" w:hAnsi="Times New Roman" w:hint="eastAsia"/>
          <w:sz w:val="28"/>
          <w:szCs w:val="32"/>
        </w:rPr>
        <w:t>帳面</w:t>
      </w:r>
      <w:proofErr w:type="gramEnd"/>
      <w:r w:rsidRPr="00AE19BF">
        <w:rPr>
          <w:rFonts w:ascii="Times New Roman" w:eastAsia="標楷體" w:hAnsi="Times New Roman" w:hint="eastAsia"/>
          <w:sz w:val="28"/>
          <w:szCs w:val="32"/>
        </w:rPr>
        <w:t>金額</w:t>
      </w:r>
      <w:r w:rsidRPr="00AE19BF">
        <w:rPr>
          <w:rFonts w:ascii="Times New Roman" w:eastAsia="標楷體" w:hAnsi="Times New Roman"/>
          <w:sz w:val="28"/>
          <w:szCs w:val="32"/>
        </w:rPr>
        <w:t xml:space="preserve">= </w:t>
      </w:r>
      <w:r w:rsidRPr="00AE19BF">
        <w:rPr>
          <w:rFonts w:ascii="Times New Roman" w:eastAsia="標楷體" w:hAnsi="Times New Roman" w:hint="eastAsia"/>
          <w:sz w:val="28"/>
          <w:szCs w:val="32"/>
        </w:rPr>
        <w:t>應收利息</w:t>
      </w:r>
      <w:r w:rsidRPr="00AE19BF">
        <w:rPr>
          <w:rFonts w:ascii="Times New Roman" w:eastAsia="標楷體" w:hAnsi="Times New Roman"/>
          <w:sz w:val="28"/>
          <w:szCs w:val="32"/>
        </w:rPr>
        <w:t>+</w:t>
      </w:r>
      <w:r w:rsidRPr="00AE19BF">
        <w:rPr>
          <w:rFonts w:ascii="Times New Roman" w:eastAsia="標楷體" w:hAnsi="Times New Roman" w:hint="eastAsia"/>
          <w:sz w:val="28"/>
          <w:szCs w:val="32"/>
        </w:rPr>
        <w:t>債券</w:t>
      </w:r>
      <w:proofErr w:type="gramStart"/>
      <w:r w:rsidRPr="00AE19BF">
        <w:rPr>
          <w:rFonts w:ascii="Times New Roman" w:eastAsia="標楷體" w:hAnsi="Times New Roman" w:hint="eastAsia"/>
          <w:sz w:val="28"/>
          <w:szCs w:val="32"/>
        </w:rPr>
        <w:t>帳面</w:t>
      </w:r>
      <w:proofErr w:type="gramEnd"/>
      <w:r w:rsidRPr="00AE19BF">
        <w:rPr>
          <w:rFonts w:ascii="Times New Roman" w:eastAsia="標楷體" w:hAnsi="Times New Roman" w:hint="eastAsia"/>
          <w:sz w:val="28"/>
          <w:szCs w:val="32"/>
        </w:rPr>
        <w:t>金額</w:t>
      </w:r>
      <w:r w:rsidRPr="00AE19BF">
        <w:rPr>
          <w:rFonts w:ascii="Times New Roman" w:eastAsia="標楷體" w:hAnsi="Times New Roman"/>
          <w:sz w:val="28"/>
          <w:szCs w:val="32"/>
        </w:rPr>
        <w:t>(</w:t>
      </w:r>
      <w:r w:rsidRPr="00AE19BF">
        <w:rPr>
          <w:rFonts w:ascii="Times New Roman" w:eastAsia="標楷體" w:hAnsi="Times New Roman" w:hint="eastAsia"/>
          <w:sz w:val="28"/>
          <w:szCs w:val="32"/>
        </w:rPr>
        <w:t>未扣除累計減損</w:t>
      </w:r>
      <w:r w:rsidRPr="00AE19BF">
        <w:rPr>
          <w:rFonts w:ascii="Times New Roman" w:eastAsia="標楷體" w:hAnsi="Times New Roman"/>
          <w:sz w:val="28"/>
          <w:szCs w:val="32"/>
        </w:rPr>
        <w:t>)</w:t>
      </w:r>
      <w:r w:rsidRPr="00AE19BF">
        <w:rPr>
          <w:rFonts w:ascii="Times New Roman" w:eastAsia="標楷體" w:hAnsi="Times New Roman"/>
          <w:sz w:val="28"/>
          <w:szCs w:val="32"/>
        </w:rPr>
        <w:br/>
      </w:r>
      <w:r w:rsidRPr="00AE19BF">
        <w:rPr>
          <w:rFonts w:ascii="Times New Roman" w:eastAsia="標楷體" w:hAnsi="Times New Roman" w:hint="eastAsia"/>
          <w:sz w:val="28"/>
          <w:szCs w:val="32"/>
        </w:rPr>
        <w:t xml:space="preserve">　　　　　</w:t>
      </w:r>
      <w:r w:rsidRPr="00AE19BF">
        <w:rPr>
          <w:rFonts w:ascii="Times New Roman" w:eastAsia="標楷體" w:hAnsi="Times New Roman"/>
          <w:sz w:val="28"/>
          <w:szCs w:val="32"/>
        </w:rPr>
        <w:t xml:space="preserve"> = 0 + 482,674</w:t>
      </w:r>
      <w:r w:rsidRPr="00AE19BF">
        <w:rPr>
          <w:rFonts w:ascii="Times New Roman" w:eastAsia="標楷體" w:hAnsi="Times New Roman"/>
          <w:sz w:val="28"/>
          <w:szCs w:val="32"/>
        </w:rPr>
        <w:br/>
      </w:r>
      <w:r w:rsidRPr="00AE19BF">
        <w:rPr>
          <w:rFonts w:ascii="Times New Roman" w:eastAsia="標楷體" w:hAnsi="Times New Roman" w:hint="eastAsia"/>
          <w:sz w:val="28"/>
          <w:szCs w:val="32"/>
        </w:rPr>
        <w:t xml:space="preserve">　　　　　</w:t>
      </w:r>
      <w:r w:rsidRPr="00AE19BF">
        <w:rPr>
          <w:rFonts w:ascii="Times New Roman" w:eastAsia="標楷體" w:hAnsi="Times New Roman"/>
          <w:sz w:val="28"/>
          <w:szCs w:val="32"/>
        </w:rPr>
        <w:t xml:space="preserve"> = 482,674(</w:t>
      </w:r>
      <w:r w:rsidRPr="00AE19BF">
        <w:rPr>
          <w:rFonts w:ascii="Times New Roman" w:eastAsia="標楷體" w:hAnsi="Times New Roman" w:hint="eastAsia"/>
          <w:sz w:val="28"/>
          <w:szCs w:val="32"/>
        </w:rPr>
        <w:t>元</w:t>
      </w:r>
      <w:r w:rsidRPr="00AE19BF">
        <w:rPr>
          <w:rFonts w:ascii="Times New Roman" w:eastAsia="標楷體" w:hAnsi="Times New Roman"/>
          <w:sz w:val="28"/>
          <w:szCs w:val="32"/>
        </w:rPr>
        <w:t>)</w:t>
      </w:r>
    </w:p>
    <w:p w:rsidR="00B85B2C" w:rsidRPr="00AE19BF" w:rsidRDefault="00F30BF4" w:rsidP="00F248E8">
      <w:pPr>
        <w:pStyle w:val="a4"/>
        <w:spacing w:afterLines="50" w:line="500" w:lineRule="exact"/>
        <w:ind w:leftChars="0" w:left="1200"/>
        <w:jc w:val="both"/>
        <w:rPr>
          <w:rFonts w:ascii="Times New Roman" w:eastAsia="標楷體" w:hAnsi="Times New Roman"/>
          <w:sz w:val="28"/>
          <w:szCs w:val="32"/>
        </w:rPr>
      </w:pPr>
      <w:r w:rsidRPr="00AE19BF">
        <w:rPr>
          <w:rFonts w:ascii="Times New Roman" w:eastAsia="標楷體" w:hAnsi="Times New Roman" w:hint="eastAsia"/>
          <w:sz w:val="28"/>
          <w:szCs w:val="32"/>
        </w:rPr>
        <w:t>減</w:t>
      </w:r>
      <w:proofErr w:type="gramStart"/>
      <w:r w:rsidRPr="00AE19BF">
        <w:rPr>
          <w:rFonts w:ascii="Times New Roman" w:eastAsia="標楷體" w:hAnsi="Times New Roman" w:hint="eastAsia"/>
          <w:sz w:val="28"/>
          <w:szCs w:val="32"/>
        </w:rPr>
        <w:t>損</w:t>
      </w:r>
      <w:proofErr w:type="gramEnd"/>
      <w:r w:rsidRPr="00AE19BF">
        <w:rPr>
          <w:rFonts w:ascii="Times New Roman" w:eastAsia="標楷體" w:hAnsi="Times New Roman" w:hint="eastAsia"/>
          <w:sz w:val="28"/>
          <w:szCs w:val="32"/>
        </w:rPr>
        <w:t>損失</w:t>
      </w:r>
      <w:r w:rsidRPr="00AE19BF">
        <w:rPr>
          <w:rFonts w:ascii="Times New Roman" w:eastAsia="標楷體" w:hAnsi="Times New Roman"/>
          <w:sz w:val="28"/>
          <w:szCs w:val="32"/>
        </w:rPr>
        <w:t>= PD</w:t>
      </w:r>
      <m:oMath>
        <m:r>
          <m:rPr>
            <m:sty m:val="p"/>
          </m:rPr>
          <w:rPr>
            <w:rFonts w:ascii="Cambria Math" w:eastAsia="標楷體" w:hAnsi="Cambria Math"/>
            <w:sz w:val="28"/>
            <w:szCs w:val="32"/>
          </w:rPr>
          <m:t>×</m:t>
        </m:r>
      </m:oMath>
      <w:r w:rsidRPr="00AE19BF">
        <w:rPr>
          <w:rFonts w:ascii="Times New Roman" w:eastAsia="標楷體" w:hAnsi="Times New Roman"/>
          <w:sz w:val="28"/>
          <w:szCs w:val="32"/>
        </w:rPr>
        <w:t>LGD</w:t>
      </w:r>
      <m:oMath>
        <m:r>
          <m:rPr>
            <m:sty m:val="p"/>
          </m:rPr>
          <w:rPr>
            <w:rFonts w:ascii="Cambria Math" w:eastAsia="標楷體" w:hAnsi="Cambria Math"/>
            <w:sz w:val="28"/>
            <w:szCs w:val="32"/>
          </w:rPr>
          <m:t>×</m:t>
        </m:r>
      </m:oMath>
      <w:r w:rsidRPr="00AE19BF">
        <w:rPr>
          <w:rFonts w:ascii="Times New Roman" w:eastAsia="標楷體" w:hAnsi="Times New Roman"/>
          <w:sz w:val="28"/>
          <w:szCs w:val="32"/>
        </w:rPr>
        <w:t>EAD</w:t>
      </w:r>
      <w:r w:rsidRPr="00AE19BF">
        <w:rPr>
          <w:rFonts w:ascii="Times New Roman" w:eastAsia="標楷體" w:hAnsi="Times New Roman"/>
          <w:sz w:val="28"/>
          <w:szCs w:val="32"/>
        </w:rPr>
        <w:br/>
      </w:r>
      <w:r w:rsidRPr="00AE19BF">
        <w:rPr>
          <w:rFonts w:ascii="Times New Roman" w:eastAsia="標楷體" w:hAnsi="Times New Roman" w:hint="eastAsia"/>
          <w:sz w:val="28"/>
          <w:szCs w:val="32"/>
        </w:rPr>
        <w:t xml:space="preserve">　　　　</w:t>
      </w:r>
      <w:r w:rsidRPr="00AE19BF">
        <w:rPr>
          <w:rFonts w:ascii="Times New Roman" w:eastAsia="標楷體" w:hAnsi="Times New Roman"/>
          <w:sz w:val="28"/>
          <w:szCs w:val="32"/>
        </w:rPr>
        <w:t>= 8.41%</w:t>
      </w:r>
      <m:oMath>
        <m:r>
          <m:rPr>
            <m:sty m:val="p"/>
          </m:rPr>
          <w:rPr>
            <w:rFonts w:ascii="Cambria Math" w:eastAsia="標楷體" w:hAnsi="Cambria Math"/>
            <w:sz w:val="28"/>
            <w:szCs w:val="32"/>
          </w:rPr>
          <m:t>×</m:t>
        </m:r>
      </m:oMath>
      <w:r w:rsidRPr="00AE19BF">
        <w:rPr>
          <w:rFonts w:ascii="Times New Roman" w:eastAsia="標楷體" w:hAnsi="Times New Roman"/>
          <w:sz w:val="28"/>
          <w:szCs w:val="32"/>
        </w:rPr>
        <w:t>65%</w:t>
      </w:r>
      <m:oMath>
        <m:r>
          <m:rPr>
            <m:sty m:val="p"/>
          </m:rPr>
          <w:rPr>
            <w:rFonts w:ascii="Cambria Math" w:eastAsia="標楷體" w:hAnsi="Cambria Math"/>
            <w:sz w:val="28"/>
            <w:szCs w:val="32"/>
          </w:rPr>
          <m:t>×</m:t>
        </m:r>
      </m:oMath>
      <w:r w:rsidRPr="00AE19BF">
        <w:rPr>
          <w:rFonts w:ascii="Times New Roman" w:eastAsia="標楷體" w:hAnsi="Times New Roman"/>
          <w:sz w:val="28"/>
          <w:szCs w:val="32"/>
        </w:rPr>
        <w:t>482,674</w:t>
      </w:r>
      <w:r w:rsidRPr="00AE19BF">
        <w:rPr>
          <w:rFonts w:ascii="Times New Roman" w:eastAsia="標楷體" w:hAnsi="Times New Roman"/>
          <w:sz w:val="28"/>
          <w:szCs w:val="32"/>
        </w:rPr>
        <w:br/>
      </w:r>
      <w:r w:rsidRPr="00AE19BF">
        <w:rPr>
          <w:rFonts w:ascii="Times New Roman" w:eastAsia="標楷體" w:hAnsi="Times New Roman" w:hint="eastAsia"/>
          <w:sz w:val="28"/>
          <w:szCs w:val="32"/>
        </w:rPr>
        <w:t xml:space="preserve">　　　　</w:t>
      </w:r>
      <w:r w:rsidRPr="00AE19BF">
        <w:rPr>
          <w:rFonts w:ascii="Times New Roman" w:eastAsia="標楷體" w:hAnsi="Times New Roman"/>
          <w:sz w:val="28"/>
          <w:szCs w:val="32"/>
        </w:rPr>
        <w:t>= 26,385(</w:t>
      </w:r>
      <w:r w:rsidRPr="00AE19BF">
        <w:rPr>
          <w:rFonts w:ascii="Times New Roman" w:eastAsia="標楷體" w:hAnsi="Times New Roman" w:hint="eastAsia"/>
          <w:sz w:val="28"/>
          <w:szCs w:val="32"/>
        </w:rPr>
        <w:t>元</w:t>
      </w:r>
      <w:r w:rsidRPr="00AE19BF">
        <w:rPr>
          <w:rFonts w:ascii="Times New Roman" w:eastAsia="標楷體" w:hAnsi="Times New Roman"/>
          <w:sz w:val="28"/>
          <w:szCs w:val="32"/>
        </w:rPr>
        <w:t>)</w:t>
      </w:r>
    </w:p>
    <w:p w:rsidR="00AF3391" w:rsidRDefault="00AF3391" w:rsidP="00AF3391"/>
    <w:p w:rsidR="00F0340D" w:rsidRPr="0096397C" w:rsidRDefault="00F0340D" w:rsidP="00271D7C">
      <w:pPr>
        <w:pStyle w:val="a4"/>
        <w:numPr>
          <w:ilvl w:val="0"/>
          <w:numId w:val="1"/>
        </w:numPr>
        <w:ind w:leftChars="0"/>
        <w:rPr>
          <w:rFonts w:ascii="Times New Roman" w:eastAsia="標楷體" w:hAnsi="Times New Roman"/>
          <w:b/>
          <w:sz w:val="32"/>
          <w:szCs w:val="32"/>
        </w:rPr>
      </w:pPr>
      <w:r w:rsidRPr="0096397C">
        <w:rPr>
          <w:rFonts w:ascii="Times New Roman" w:eastAsia="標楷體" w:hAnsi="Times New Roman" w:hint="eastAsia"/>
          <w:b/>
          <w:sz w:val="32"/>
          <w:szCs w:val="32"/>
        </w:rPr>
        <w:t>結論及實務提醒事項</w:t>
      </w:r>
    </w:p>
    <w:p w:rsidR="008A32C9" w:rsidRPr="00233F4D" w:rsidRDefault="0096397C" w:rsidP="00233F4D">
      <w:pPr>
        <w:autoSpaceDE w:val="0"/>
        <w:autoSpaceDN w:val="0"/>
        <w:adjustRightInd w:val="0"/>
        <w:spacing w:line="500" w:lineRule="exact"/>
        <w:ind w:leftChars="300" w:left="720"/>
        <w:rPr>
          <w:rFonts w:ascii="Times New Roman" w:eastAsia="標楷體" w:hAnsi="Times New Roman" w:cs="標楷體"/>
          <w:kern w:val="0"/>
          <w:sz w:val="28"/>
          <w:szCs w:val="24"/>
        </w:rPr>
      </w:pPr>
      <w:r w:rsidRPr="00FD3897">
        <w:rPr>
          <w:rFonts w:ascii="Times New Roman" w:eastAsia="標楷體" w:hAnsi="Times New Roman" w:hint="eastAsia"/>
          <w:sz w:val="28"/>
          <w:szCs w:val="28"/>
        </w:rPr>
        <w:t>IFRS 9</w:t>
      </w:r>
      <w:r w:rsidRPr="00FD3897">
        <w:rPr>
          <w:rFonts w:ascii="Times New Roman" w:eastAsia="標楷體" w:hAnsi="Times New Roman" w:hint="eastAsia"/>
          <w:sz w:val="28"/>
          <w:szCs w:val="28"/>
        </w:rPr>
        <w:t>要求評估信用風險</w:t>
      </w:r>
      <w:r w:rsidR="00F66FEB" w:rsidRPr="00FD3897">
        <w:rPr>
          <w:rFonts w:ascii="Times New Roman" w:eastAsia="標楷體" w:hAnsi="Times New Roman" w:hint="eastAsia"/>
          <w:sz w:val="28"/>
          <w:szCs w:val="28"/>
        </w:rPr>
        <w:t>變動需綜合考量多項因素並進行</w:t>
      </w:r>
      <w:r w:rsidR="00F66FEB" w:rsidRPr="00E15FFB">
        <w:rPr>
          <w:rFonts w:ascii="Times New Roman" w:eastAsia="標楷體" w:hAnsi="Times New Roman" w:hint="eastAsia"/>
          <w:sz w:val="28"/>
          <w:szCs w:val="28"/>
        </w:rPr>
        <w:t>整體分析，</w:t>
      </w:r>
      <w:r w:rsidR="00F66FEB" w:rsidRPr="00042256">
        <w:rPr>
          <w:rFonts w:ascii="Times New Roman" w:eastAsia="標楷體" w:hAnsi="Times New Roman" w:hint="eastAsia"/>
          <w:sz w:val="28"/>
          <w:szCs w:val="28"/>
        </w:rPr>
        <w:t>如同</w:t>
      </w:r>
      <w:r w:rsidR="00F66FEB" w:rsidRPr="00042256">
        <w:rPr>
          <w:rFonts w:ascii="Times New Roman" w:eastAsia="標楷體" w:hAnsi="Times New Roman" w:hint="eastAsia"/>
          <w:sz w:val="28"/>
          <w:szCs w:val="28"/>
        </w:rPr>
        <w:t>IF</w:t>
      </w:r>
      <w:r w:rsidR="00F66FEB" w:rsidRPr="00FD3897">
        <w:rPr>
          <w:rFonts w:ascii="Times New Roman" w:eastAsia="標楷體" w:hAnsi="Times New Roman"/>
          <w:sz w:val="28"/>
          <w:szCs w:val="28"/>
        </w:rPr>
        <w:t>RS 9</w:t>
      </w:r>
      <w:r w:rsidR="00F66FEB" w:rsidRPr="00FD3897">
        <w:rPr>
          <w:rFonts w:ascii="Times New Roman" w:eastAsia="標楷體" w:hAnsi="Times New Roman" w:hint="eastAsia"/>
          <w:sz w:val="28"/>
          <w:szCs w:val="28"/>
        </w:rPr>
        <w:t>第</w:t>
      </w:r>
      <w:r w:rsidR="00F66FEB" w:rsidRPr="00FD3897">
        <w:rPr>
          <w:rFonts w:ascii="Times New Roman" w:eastAsia="標楷體" w:hAnsi="Times New Roman"/>
          <w:sz w:val="28"/>
          <w:szCs w:val="28"/>
        </w:rPr>
        <w:t>B5.5.17</w:t>
      </w:r>
      <w:r w:rsidR="00F66FEB" w:rsidRPr="00FD3897">
        <w:rPr>
          <w:rFonts w:ascii="Times New Roman" w:eastAsia="標楷體" w:hAnsi="Times New Roman" w:hint="eastAsia"/>
          <w:sz w:val="28"/>
          <w:szCs w:val="28"/>
        </w:rPr>
        <w:t>段所提出之指引。</w:t>
      </w:r>
      <w:r w:rsidR="008A32C9">
        <w:rPr>
          <w:rFonts w:ascii="Times New Roman" w:eastAsia="標楷體" w:hAnsi="Times New Roman" w:hint="eastAsia"/>
          <w:sz w:val="28"/>
          <w:szCs w:val="28"/>
        </w:rPr>
        <w:t>另</w:t>
      </w:r>
      <w:r w:rsidR="00F66FEB" w:rsidRPr="00FD3897">
        <w:rPr>
          <w:rFonts w:ascii="Times New Roman" w:eastAsia="標楷體" w:hAnsi="Times New Roman"/>
          <w:sz w:val="28"/>
          <w:szCs w:val="28"/>
        </w:rPr>
        <w:t>ITG</w:t>
      </w:r>
      <w:r w:rsidR="00F66FEB" w:rsidRPr="00FD3897">
        <w:rPr>
          <w:rFonts w:ascii="Times New Roman" w:eastAsia="標楷體" w:hAnsi="Times New Roman" w:hint="eastAsia"/>
          <w:sz w:val="28"/>
          <w:szCs w:val="28"/>
        </w:rPr>
        <w:t>成員</w:t>
      </w:r>
      <w:r w:rsidR="00F66FEB" w:rsidRPr="00FD3897">
        <w:rPr>
          <w:rFonts w:ascii="Times New Roman" w:eastAsia="標楷體" w:hAnsi="Times New Roman" w:cs="Times New Roman" w:hint="eastAsia"/>
          <w:color w:val="000000" w:themeColor="text1"/>
          <w:sz w:val="28"/>
          <w:szCs w:val="28"/>
        </w:rPr>
        <w:t>於</w:t>
      </w:r>
      <w:r w:rsidR="00F66FEB" w:rsidRPr="00FD3897">
        <w:rPr>
          <w:rFonts w:ascii="Times New Roman" w:eastAsia="標楷體" w:hAnsi="Times New Roman" w:cs="Times New Roman"/>
          <w:color w:val="000000" w:themeColor="text1"/>
          <w:sz w:val="28"/>
          <w:szCs w:val="28"/>
        </w:rPr>
        <w:t>2015</w:t>
      </w:r>
      <w:r w:rsidR="008A32C9">
        <w:rPr>
          <w:rFonts w:ascii="Times New Roman" w:eastAsia="標楷體" w:hAnsi="Times New Roman" w:cs="Times New Roman" w:hint="eastAsia"/>
          <w:color w:val="000000" w:themeColor="text1"/>
          <w:sz w:val="28"/>
          <w:szCs w:val="28"/>
        </w:rPr>
        <w:t>.9.16</w:t>
      </w:r>
      <w:r w:rsidR="00F66FEB" w:rsidRPr="00FD3897">
        <w:rPr>
          <w:rFonts w:ascii="Times New Roman" w:eastAsia="標楷體" w:hAnsi="Times New Roman" w:cs="Times New Roman" w:hint="eastAsia"/>
          <w:color w:val="000000" w:themeColor="text1"/>
          <w:sz w:val="28"/>
          <w:szCs w:val="28"/>
        </w:rPr>
        <w:t>會議中強調</w:t>
      </w:r>
      <w:r w:rsidR="00FD3897" w:rsidRPr="00FD3897">
        <w:rPr>
          <w:rFonts w:ascii="Times New Roman" w:eastAsia="標楷體" w:hAnsi="Times New Roman" w:cs="Georgia"/>
          <w:kern w:val="0"/>
          <w:sz w:val="28"/>
          <w:szCs w:val="24"/>
        </w:rPr>
        <w:t xml:space="preserve">IFRS 9 </w:t>
      </w:r>
      <w:r w:rsidR="00FD3897" w:rsidRPr="00FD3897">
        <w:rPr>
          <w:rFonts w:ascii="Times New Roman" w:eastAsia="標楷體" w:hAnsi="Times New Roman" w:cs="標楷體" w:hint="eastAsia"/>
          <w:kern w:val="0"/>
          <w:sz w:val="28"/>
          <w:szCs w:val="24"/>
        </w:rPr>
        <w:t>對於評估信用風險是否已顯著增加之要求是比較</w:t>
      </w:r>
      <w:r w:rsidR="009C5ECB">
        <w:rPr>
          <w:rFonts w:ascii="Times New Roman" w:eastAsia="標楷體" w:hAnsi="Times New Roman" w:cs="標楷體" w:hint="eastAsia"/>
          <w:kern w:val="0"/>
          <w:sz w:val="28"/>
          <w:szCs w:val="24"/>
        </w:rPr>
        <w:t>財務</w:t>
      </w:r>
      <w:r w:rsidR="00FD3897" w:rsidRPr="00FD3897">
        <w:rPr>
          <w:rFonts w:ascii="Times New Roman" w:eastAsia="標楷體" w:hAnsi="Times New Roman" w:cs="標楷體" w:hint="eastAsia"/>
          <w:kern w:val="0"/>
          <w:sz w:val="28"/>
          <w:szCs w:val="24"/>
        </w:rPr>
        <w:t>報導日與原始認列日</w:t>
      </w:r>
      <w:r w:rsidR="009C5ECB">
        <w:rPr>
          <w:rFonts w:ascii="Times New Roman" w:eastAsia="標楷體" w:hAnsi="Times New Roman" w:cs="標楷體" w:hint="eastAsia"/>
          <w:kern w:val="0"/>
          <w:sz w:val="28"/>
          <w:szCs w:val="24"/>
        </w:rPr>
        <w:t>金融工具發生違約</w:t>
      </w:r>
      <w:r w:rsidR="00FD3897" w:rsidRPr="00FD3897">
        <w:rPr>
          <w:rFonts w:ascii="Times New Roman" w:eastAsia="標楷體" w:hAnsi="Times New Roman" w:cs="標楷體" w:hint="eastAsia"/>
          <w:kern w:val="0"/>
          <w:sz w:val="28"/>
          <w:szCs w:val="24"/>
        </w:rPr>
        <w:t>風險之相對增加，而</w:t>
      </w:r>
      <w:r w:rsidR="00FD3897" w:rsidRPr="00E15FFB">
        <w:rPr>
          <w:rFonts w:ascii="Times New Roman" w:eastAsia="標楷體" w:hAnsi="Times New Roman" w:cs="標楷體" w:hint="eastAsia"/>
          <w:kern w:val="0"/>
          <w:sz w:val="28"/>
          <w:szCs w:val="24"/>
        </w:rPr>
        <w:t>非判定於報導日信用風險之特定評等。</w:t>
      </w:r>
      <w:r w:rsidR="008A32C9" w:rsidRPr="008A32C9">
        <w:rPr>
          <w:rFonts w:ascii="標楷體" w:eastAsia="標楷體" w:cs="標楷體" w:hint="eastAsia"/>
          <w:kern w:val="0"/>
          <w:sz w:val="28"/>
          <w:szCs w:val="28"/>
        </w:rPr>
        <w:t>在判定信用風險是否已顯著增加時，對於</w:t>
      </w:r>
      <w:r w:rsidR="008A32C9" w:rsidRPr="008A32C9">
        <w:rPr>
          <w:rFonts w:ascii="標楷體" w:eastAsia="標楷體" w:cs="標楷體" w:hint="eastAsia"/>
          <w:kern w:val="0"/>
          <w:sz w:val="28"/>
          <w:szCs w:val="28"/>
        </w:rPr>
        <w:lastRenderedPageBreak/>
        <w:t>相同的信用風險變動，信用品質較佳之資產違約風險將發生更顯著的變動，而信用品質較差之資產違約風險變動程度則相對較小</w:t>
      </w:r>
      <w:r w:rsidR="008A32C9" w:rsidRPr="008A32C9">
        <w:rPr>
          <w:rFonts w:ascii="Georgia" w:eastAsia="標楷體" w:hAnsi="Georgia" w:cs="Georgia"/>
          <w:kern w:val="0"/>
          <w:sz w:val="28"/>
          <w:szCs w:val="28"/>
        </w:rPr>
        <w:t>(IFRS 9.B5.5.9)</w:t>
      </w:r>
      <w:r w:rsidR="008A32C9" w:rsidRPr="008A32C9">
        <w:rPr>
          <w:rFonts w:ascii="標楷體" w:eastAsia="標楷體" w:cs="標楷體" w:hint="eastAsia"/>
          <w:kern w:val="0"/>
          <w:sz w:val="28"/>
          <w:szCs w:val="28"/>
        </w:rPr>
        <w:t>。</w:t>
      </w:r>
      <w:r w:rsidR="008A32C9">
        <w:rPr>
          <w:rFonts w:ascii="標楷體" w:eastAsia="標楷體" w:cs="標楷體" w:hint="eastAsia"/>
          <w:kern w:val="0"/>
          <w:sz w:val="28"/>
          <w:szCs w:val="28"/>
        </w:rPr>
        <w:t>同時</w:t>
      </w:r>
      <w:r w:rsidR="00233F4D">
        <w:rPr>
          <w:rFonts w:ascii="標楷體" w:eastAsia="標楷體" w:cs="標楷體" w:hint="eastAsia"/>
          <w:kern w:val="0"/>
          <w:sz w:val="28"/>
          <w:szCs w:val="28"/>
        </w:rPr>
        <w:t xml:space="preserve">， </w:t>
      </w:r>
      <w:r w:rsidR="00233F4D" w:rsidRPr="00FD3897">
        <w:rPr>
          <w:rFonts w:ascii="Times New Roman" w:eastAsia="標楷體" w:hAnsi="Times New Roman"/>
          <w:sz w:val="28"/>
          <w:szCs w:val="28"/>
        </w:rPr>
        <w:t>ITG</w:t>
      </w:r>
      <w:r w:rsidR="00233F4D" w:rsidRPr="00FD3897">
        <w:rPr>
          <w:rFonts w:ascii="Times New Roman" w:eastAsia="標楷體" w:hAnsi="Times New Roman" w:hint="eastAsia"/>
          <w:sz w:val="28"/>
          <w:szCs w:val="28"/>
        </w:rPr>
        <w:t>成員</w:t>
      </w:r>
      <w:r w:rsidR="008A32C9">
        <w:rPr>
          <w:rFonts w:ascii="標楷體" w:eastAsia="標楷體" w:cs="標楷體" w:hint="eastAsia"/>
          <w:kern w:val="0"/>
          <w:sz w:val="28"/>
          <w:szCs w:val="28"/>
        </w:rPr>
        <w:t>也提醒企業</w:t>
      </w:r>
      <w:r w:rsidR="008A32C9" w:rsidRPr="008A32C9">
        <w:rPr>
          <w:rFonts w:ascii="標楷體" w:eastAsia="標楷體" w:cs="標楷體" w:hint="eastAsia"/>
          <w:kern w:val="0"/>
          <w:sz w:val="28"/>
          <w:szCs w:val="28"/>
        </w:rPr>
        <w:t>在參考信用評等變動資訊</w:t>
      </w:r>
      <w:r w:rsidR="00813FDC">
        <w:rPr>
          <w:rFonts w:ascii="標楷體" w:eastAsia="標楷體" w:cs="標楷體" w:hint="eastAsia"/>
          <w:kern w:val="0"/>
          <w:sz w:val="28"/>
          <w:szCs w:val="28"/>
        </w:rPr>
        <w:t>以評估違約風險是否顯著增加</w:t>
      </w:r>
      <w:r w:rsidR="008A32C9" w:rsidRPr="008A32C9">
        <w:rPr>
          <w:rFonts w:ascii="標楷體" w:eastAsia="標楷體" w:cs="標楷體" w:hint="eastAsia"/>
          <w:kern w:val="0"/>
          <w:sz w:val="28"/>
          <w:szCs w:val="28"/>
        </w:rPr>
        <w:t>時，應注意</w:t>
      </w:r>
      <w:r w:rsidR="00304328">
        <w:rPr>
          <w:rFonts w:ascii="標楷體" w:eastAsia="標楷體" w:cs="標楷體" w:hint="eastAsia"/>
          <w:kern w:val="0"/>
          <w:sz w:val="28"/>
          <w:szCs w:val="28"/>
        </w:rPr>
        <w:t>信用等級與發生違約風險變動</w:t>
      </w:r>
      <w:r w:rsidR="001F5A32">
        <w:rPr>
          <w:rFonts w:ascii="標楷體" w:eastAsia="標楷體" w:cs="標楷體" w:hint="eastAsia"/>
          <w:kern w:val="0"/>
          <w:sz w:val="28"/>
          <w:szCs w:val="28"/>
        </w:rPr>
        <w:t>間</w:t>
      </w:r>
      <w:r w:rsidR="00304328">
        <w:rPr>
          <w:rFonts w:ascii="標楷體" w:eastAsia="標楷體" w:cs="標楷體" w:hint="eastAsia"/>
          <w:kern w:val="0"/>
          <w:sz w:val="28"/>
          <w:szCs w:val="28"/>
        </w:rPr>
        <w:t>之</w:t>
      </w:r>
      <w:r w:rsidR="001F5A32">
        <w:rPr>
          <w:rFonts w:ascii="標楷體" w:eastAsia="標楷體" w:cs="標楷體" w:hint="eastAsia"/>
          <w:kern w:val="0"/>
          <w:sz w:val="28"/>
          <w:szCs w:val="28"/>
        </w:rPr>
        <w:t>關係</w:t>
      </w:r>
      <w:r w:rsidR="00304328">
        <w:rPr>
          <w:rFonts w:ascii="標楷體" w:eastAsia="標楷體" w:cs="標楷體" w:hint="eastAsia"/>
          <w:kern w:val="0"/>
          <w:sz w:val="28"/>
          <w:szCs w:val="28"/>
        </w:rPr>
        <w:t>於</w:t>
      </w:r>
      <w:r w:rsidR="00304328" w:rsidRPr="008A32C9">
        <w:rPr>
          <w:rFonts w:ascii="標楷體" w:eastAsia="標楷體" w:cs="標楷體" w:hint="eastAsia"/>
          <w:kern w:val="0"/>
          <w:sz w:val="28"/>
          <w:szCs w:val="28"/>
        </w:rPr>
        <w:t>各種信用評等系統</w:t>
      </w:r>
      <w:r w:rsidR="00304328">
        <w:rPr>
          <w:rFonts w:ascii="標楷體" w:eastAsia="標楷體" w:cs="標楷體" w:hint="eastAsia"/>
          <w:kern w:val="0"/>
          <w:sz w:val="28"/>
          <w:szCs w:val="28"/>
        </w:rPr>
        <w:t>中</w:t>
      </w:r>
      <w:r w:rsidR="008A32C9" w:rsidRPr="008A32C9">
        <w:rPr>
          <w:rFonts w:ascii="標楷體" w:eastAsia="標楷體" w:cs="標楷體" w:hint="eastAsia"/>
          <w:kern w:val="0"/>
          <w:sz w:val="28"/>
          <w:szCs w:val="28"/>
        </w:rPr>
        <w:t>有所不同。</w:t>
      </w:r>
      <w:bookmarkStart w:id="0" w:name="_GoBack"/>
      <w:bookmarkEnd w:id="0"/>
    </w:p>
    <w:p w:rsidR="008A32C9" w:rsidRPr="008A32C9" w:rsidRDefault="008A32C9" w:rsidP="00233F4D">
      <w:pPr>
        <w:spacing w:line="500" w:lineRule="exact"/>
        <w:rPr>
          <w:rFonts w:ascii="Times New Roman" w:eastAsia="標楷體" w:hAnsi="Times New Roman"/>
          <w:b/>
          <w:sz w:val="28"/>
          <w:szCs w:val="28"/>
        </w:rPr>
      </w:pPr>
    </w:p>
    <w:p w:rsidR="00271D7C" w:rsidRPr="00D1051A" w:rsidRDefault="00271D7C" w:rsidP="00271D7C">
      <w:pPr>
        <w:pStyle w:val="a4"/>
        <w:numPr>
          <w:ilvl w:val="0"/>
          <w:numId w:val="1"/>
        </w:numPr>
        <w:ind w:leftChars="0"/>
        <w:rPr>
          <w:rFonts w:ascii="Times New Roman" w:eastAsia="標楷體" w:hAnsi="Times New Roman"/>
          <w:b/>
          <w:sz w:val="32"/>
          <w:szCs w:val="28"/>
        </w:rPr>
      </w:pPr>
      <w:r w:rsidRPr="00D1051A">
        <w:rPr>
          <w:rFonts w:ascii="Times New Roman" w:eastAsia="標楷體" w:hAnsi="Times New Roman" w:hint="eastAsia"/>
          <w:b/>
          <w:sz w:val="32"/>
          <w:szCs w:val="28"/>
        </w:rPr>
        <w:t>資料來源</w:t>
      </w:r>
    </w:p>
    <w:p w:rsidR="00271D7C" w:rsidRPr="00AE19BF" w:rsidRDefault="00271D7C" w:rsidP="00CF7C77">
      <w:pPr>
        <w:pStyle w:val="a4"/>
        <w:numPr>
          <w:ilvl w:val="0"/>
          <w:numId w:val="19"/>
        </w:numPr>
        <w:spacing w:line="500" w:lineRule="exact"/>
        <w:ind w:leftChars="0" w:left="1077" w:hanging="357"/>
        <w:rPr>
          <w:rFonts w:ascii="Times New Roman" w:eastAsia="標楷體" w:hAnsi="Times New Roman" w:cs="Times New Roman"/>
          <w:color w:val="000000" w:themeColor="text1"/>
          <w:sz w:val="28"/>
          <w:szCs w:val="28"/>
        </w:rPr>
      </w:pPr>
      <w:r w:rsidRPr="00AE19BF">
        <w:rPr>
          <w:rFonts w:ascii="Times New Roman" w:eastAsia="標楷體" w:hAnsi="Times New Roman" w:cs="Times New Roman" w:hint="eastAsia"/>
          <w:iCs/>
          <w:color w:val="000000" w:themeColor="text1"/>
          <w:sz w:val="28"/>
          <w:szCs w:val="28"/>
        </w:rPr>
        <w:t>中華民國銀行商業同業公會全國聯合會</w:t>
      </w:r>
      <w:r w:rsidR="00CF7C77" w:rsidRPr="00AE19BF">
        <w:rPr>
          <w:rFonts w:ascii="Times New Roman" w:eastAsia="標楷體" w:hAnsi="Times New Roman" w:cs="Times New Roman" w:hint="eastAsia"/>
          <w:iCs/>
          <w:color w:val="000000" w:themeColor="text1"/>
          <w:sz w:val="28"/>
          <w:szCs w:val="28"/>
        </w:rPr>
        <w:t>「</w:t>
      </w:r>
      <w:r w:rsidRPr="00AE19BF">
        <w:rPr>
          <w:rFonts w:ascii="Times New Roman" w:eastAsia="標楷體" w:hAnsi="Times New Roman" w:cs="Times New Roman" w:hint="eastAsia"/>
          <w:color w:val="000000" w:themeColor="text1"/>
          <w:sz w:val="28"/>
          <w:szCs w:val="28"/>
        </w:rPr>
        <w:t>減損評估方法論指引</w:t>
      </w:r>
      <w:r w:rsidR="00CF7C77" w:rsidRPr="00AE19BF">
        <w:rPr>
          <w:rFonts w:ascii="Times New Roman" w:eastAsia="標楷體" w:hAnsi="Times New Roman" w:cs="Times New Roman" w:hint="eastAsia"/>
          <w:color w:val="000000" w:themeColor="text1"/>
          <w:sz w:val="28"/>
          <w:szCs w:val="28"/>
        </w:rPr>
        <w:t>」</w:t>
      </w:r>
    </w:p>
    <w:p w:rsidR="00CC170A" w:rsidRPr="00AE19BF" w:rsidRDefault="00CC170A" w:rsidP="00CF7C77">
      <w:pPr>
        <w:pStyle w:val="a4"/>
        <w:numPr>
          <w:ilvl w:val="0"/>
          <w:numId w:val="19"/>
        </w:numPr>
        <w:spacing w:line="500" w:lineRule="exact"/>
        <w:ind w:leftChars="0" w:left="1077" w:hanging="357"/>
        <w:rPr>
          <w:rFonts w:ascii="Times New Roman" w:eastAsia="標楷體" w:hAnsi="Times New Roman" w:cs="Times New Roman"/>
          <w:iCs/>
          <w:color w:val="000000" w:themeColor="text1"/>
          <w:sz w:val="28"/>
          <w:szCs w:val="28"/>
        </w:rPr>
      </w:pPr>
      <w:r w:rsidRPr="00AE19BF">
        <w:rPr>
          <w:rFonts w:ascii="Times New Roman" w:eastAsia="標楷體" w:hAnsi="Times New Roman" w:cs="Times New Roman" w:hint="eastAsia"/>
          <w:color w:val="000000" w:themeColor="text1"/>
          <w:sz w:val="28"/>
          <w:szCs w:val="28"/>
        </w:rPr>
        <w:t>IFRS 9</w:t>
      </w:r>
      <w:r w:rsidR="00DF4436" w:rsidRPr="00AE19BF">
        <w:rPr>
          <w:rFonts w:ascii="Times New Roman" w:eastAsia="標楷體" w:hAnsi="Times New Roman" w:cs="Times New Roman" w:hint="eastAsia"/>
          <w:color w:val="000000" w:themeColor="text1"/>
          <w:sz w:val="28"/>
          <w:szCs w:val="28"/>
        </w:rPr>
        <w:t>「</w:t>
      </w:r>
      <w:r w:rsidRPr="00AE19BF">
        <w:rPr>
          <w:rFonts w:ascii="Times New Roman" w:eastAsia="標楷體" w:hAnsi="Times New Roman" w:cs="Times New Roman" w:hint="eastAsia"/>
          <w:color w:val="000000" w:themeColor="text1"/>
          <w:sz w:val="28"/>
          <w:szCs w:val="28"/>
        </w:rPr>
        <w:t>金融工具</w:t>
      </w:r>
      <w:r w:rsidR="00DF4436" w:rsidRPr="00AE19BF">
        <w:rPr>
          <w:rFonts w:ascii="Times New Roman" w:eastAsia="標楷體" w:hAnsi="Times New Roman" w:cs="Times New Roman" w:hint="eastAsia"/>
          <w:color w:val="000000" w:themeColor="text1"/>
          <w:sz w:val="28"/>
          <w:szCs w:val="28"/>
        </w:rPr>
        <w:t>」</w:t>
      </w:r>
      <w:r w:rsidRPr="00AE19BF">
        <w:rPr>
          <w:rFonts w:ascii="Times New Roman" w:eastAsia="標楷體" w:hAnsi="Times New Roman" w:cs="Times New Roman"/>
          <w:color w:val="000000" w:themeColor="text1"/>
          <w:sz w:val="28"/>
          <w:szCs w:val="28"/>
        </w:rPr>
        <w:t>正體中文版</w:t>
      </w:r>
    </w:p>
    <w:p w:rsidR="00344F99" w:rsidRPr="00AE19BF" w:rsidRDefault="00344F99" w:rsidP="00CF7C77">
      <w:pPr>
        <w:pStyle w:val="a4"/>
        <w:numPr>
          <w:ilvl w:val="0"/>
          <w:numId w:val="19"/>
        </w:numPr>
        <w:spacing w:line="500" w:lineRule="exact"/>
        <w:ind w:leftChars="0" w:left="1077" w:hanging="357"/>
        <w:rPr>
          <w:rFonts w:ascii="Times New Roman" w:eastAsia="標楷體" w:hAnsi="Times New Roman" w:cs="Times New Roman"/>
          <w:iCs/>
          <w:color w:val="000000" w:themeColor="text1"/>
          <w:sz w:val="28"/>
          <w:szCs w:val="28"/>
        </w:rPr>
      </w:pPr>
      <w:r w:rsidRPr="00AE19BF">
        <w:rPr>
          <w:rFonts w:ascii="Times New Roman" w:eastAsia="標楷體" w:hAnsi="Times New Roman" w:cs="Times New Roman" w:hint="eastAsia"/>
          <w:color w:val="000000" w:themeColor="text1"/>
          <w:sz w:val="28"/>
          <w:szCs w:val="28"/>
        </w:rPr>
        <w:t xml:space="preserve">ITG </w:t>
      </w:r>
      <w:r w:rsidRPr="00AE19BF">
        <w:rPr>
          <w:rFonts w:ascii="Times New Roman" w:eastAsia="標楷體" w:hAnsi="Times New Roman" w:cs="Times New Roman" w:hint="eastAsia"/>
          <w:color w:val="000000" w:themeColor="text1"/>
          <w:sz w:val="28"/>
          <w:szCs w:val="28"/>
        </w:rPr>
        <w:t>會議摘要</w:t>
      </w:r>
      <w:r w:rsidRPr="00AE19BF">
        <w:rPr>
          <w:rFonts w:ascii="Times New Roman" w:eastAsia="標楷體" w:hAnsi="Times New Roman" w:cs="Times New Roman" w:hint="eastAsia"/>
          <w:color w:val="000000" w:themeColor="text1"/>
          <w:sz w:val="28"/>
          <w:szCs w:val="28"/>
        </w:rPr>
        <w:t xml:space="preserve">: </w:t>
      </w:r>
      <w:r w:rsidR="00493DFD" w:rsidRPr="00AE19BF">
        <w:rPr>
          <w:rFonts w:ascii="Times New Roman" w:eastAsia="標楷體" w:hAnsi="Times New Roman" w:cs="Times New Roman" w:hint="eastAsia"/>
          <w:color w:val="000000" w:themeColor="text1"/>
          <w:sz w:val="28"/>
          <w:szCs w:val="28"/>
        </w:rPr>
        <w:t>2015.4.22</w:t>
      </w:r>
      <w:r w:rsidR="00493DFD" w:rsidRPr="00AE19BF">
        <w:rPr>
          <w:rFonts w:ascii="Times New Roman" w:eastAsia="標楷體" w:hAnsi="Times New Roman" w:cs="Times New Roman" w:hint="eastAsia"/>
          <w:color w:val="000000" w:themeColor="text1"/>
          <w:sz w:val="28"/>
          <w:szCs w:val="28"/>
        </w:rPr>
        <w:t>及</w:t>
      </w:r>
      <w:r w:rsidRPr="00AE19BF">
        <w:rPr>
          <w:rFonts w:ascii="Times New Roman" w:eastAsia="標楷體" w:hAnsi="Times New Roman" w:cs="Times New Roman" w:hint="eastAsia"/>
          <w:color w:val="000000" w:themeColor="text1"/>
          <w:sz w:val="28"/>
          <w:szCs w:val="28"/>
        </w:rPr>
        <w:t>2015.9.16</w:t>
      </w:r>
    </w:p>
    <w:sectPr w:rsidR="00344F99" w:rsidRPr="00AE19BF" w:rsidSect="009C4165">
      <w:footerReference w:type="default" r:id="rId8"/>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13E" w:rsidRDefault="0038313E" w:rsidP="00F639E3">
      <w:r>
        <w:separator/>
      </w:r>
    </w:p>
  </w:endnote>
  <w:endnote w:type="continuationSeparator" w:id="0">
    <w:p w:rsidR="0038313E" w:rsidRDefault="0038313E" w:rsidP="00F63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3Font_2">
    <w:altName w:val="Arial Unicode MS"/>
    <w:panose1 w:val="00000000000000000000"/>
    <w:charset w:val="88"/>
    <w:family w:val="swiss"/>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164238"/>
      <w:docPartObj>
        <w:docPartGallery w:val="Page Numbers (Bottom of Page)"/>
        <w:docPartUnique/>
      </w:docPartObj>
    </w:sdtPr>
    <w:sdtContent>
      <w:p w:rsidR="007D432B" w:rsidRDefault="00F65238">
        <w:pPr>
          <w:pStyle w:val="a7"/>
          <w:jc w:val="center"/>
        </w:pPr>
        <w:r>
          <w:fldChar w:fldCharType="begin"/>
        </w:r>
        <w:r w:rsidR="007D432B">
          <w:instrText>PAGE   \* MERGEFORMAT</w:instrText>
        </w:r>
        <w:r>
          <w:fldChar w:fldCharType="separate"/>
        </w:r>
        <w:r w:rsidR="00F248E8" w:rsidRPr="00F248E8">
          <w:rPr>
            <w:noProof/>
            <w:lang w:val="zh-TW"/>
          </w:rPr>
          <w:t>4</w:t>
        </w:r>
        <w:r>
          <w:fldChar w:fldCharType="end"/>
        </w:r>
      </w:p>
    </w:sdtContent>
  </w:sdt>
  <w:p w:rsidR="007D432B" w:rsidRDefault="007D43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13E" w:rsidRDefault="0038313E" w:rsidP="00F639E3">
      <w:r>
        <w:separator/>
      </w:r>
    </w:p>
  </w:footnote>
  <w:footnote w:type="continuationSeparator" w:id="0">
    <w:p w:rsidR="0038313E" w:rsidRDefault="0038313E" w:rsidP="00F639E3">
      <w:r>
        <w:continuationSeparator/>
      </w:r>
    </w:p>
  </w:footnote>
  <w:footnote w:id="1">
    <w:p w:rsidR="001A3EFC" w:rsidRDefault="001A3EFC" w:rsidP="001A3EFC">
      <w:pPr>
        <w:pStyle w:val="a9"/>
        <w:rPr>
          <w:lang w:eastAsia="zh-TW"/>
        </w:rPr>
      </w:pPr>
      <w:r>
        <w:rPr>
          <w:rStyle w:val="ab"/>
        </w:rPr>
        <w:footnoteRef/>
      </w:r>
      <w:r>
        <w:rPr>
          <w:lang w:eastAsia="zh-TW"/>
        </w:rPr>
        <w:t xml:space="preserve"> </w:t>
      </w:r>
      <w:r w:rsidRPr="00AB3FAC">
        <w:rPr>
          <w:rFonts w:ascii="Times New Roman" w:eastAsia="標楷體" w:hAnsi="Times New Roman" w:cs="Times New Roman"/>
          <w:lang w:eastAsia="zh-TW"/>
        </w:rPr>
        <w:t>D</w:t>
      </w:r>
      <w:r w:rsidRPr="00AB3FAC">
        <w:rPr>
          <w:rFonts w:ascii="Times New Roman" w:eastAsia="標楷體" w:hAnsi="Times New Roman" w:cs="Times New Roman"/>
          <w:lang w:eastAsia="zh-TW"/>
        </w:rPr>
        <w:t>銀行參考之外部評等</w:t>
      </w:r>
      <w:r w:rsidR="00DF4436">
        <w:rPr>
          <w:rFonts w:ascii="Times New Roman" w:eastAsia="標楷體" w:hAnsi="Times New Roman" w:cs="Times New Roman" w:hint="eastAsia"/>
          <w:lang w:eastAsia="zh-TW"/>
        </w:rPr>
        <w:t>已</w:t>
      </w:r>
      <w:r w:rsidRPr="00AB3FAC">
        <w:rPr>
          <w:rFonts w:ascii="Times New Roman" w:eastAsia="標楷體" w:hAnsi="Times New Roman" w:cs="Times New Roman"/>
          <w:lang w:eastAsia="zh-TW"/>
        </w:rPr>
        <w:t>具前瞻性資訊。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3A5"/>
    <w:multiLevelType w:val="hybridMultilevel"/>
    <w:tmpl w:val="B2C0FBA4"/>
    <w:lvl w:ilvl="0" w:tplc="90DA5E72">
      <w:start w:val="1"/>
      <w:numFmt w:val="decimal"/>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
    <w:nsid w:val="03620636"/>
    <w:multiLevelType w:val="hybridMultilevel"/>
    <w:tmpl w:val="8C6EDFB0"/>
    <w:lvl w:ilvl="0" w:tplc="051096BC">
      <w:start w:val="1"/>
      <w:numFmt w:val="decimal"/>
      <w:lvlText w:val="(%1)."/>
      <w:lvlJc w:val="left"/>
      <w:pPr>
        <w:ind w:left="1527" w:hanging="480"/>
      </w:pPr>
      <w:rPr>
        <w:rFonts w:ascii="Georgia" w:hAnsi="Georgia" w:hint="default"/>
        <w:b w:val="0"/>
        <w:bCs w:val="0"/>
        <w:i w:val="0"/>
        <w:iCs w:val="0"/>
        <w:dstrike w:val="0"/>
        <w:color w:val="auto"/>
        <w:sz w:val="28"/>
        <w:szCs w:val="28"/>
      </w:rPr>
    </w:lvl>
    <w:lvl w:ilvl="1" w:tplc="04090019">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nsid w:val="141520F6"/>
    <w:multiLevelType w:val="hybridMultilevel"/>
    <w:tmpl w:val="05F615CE"/>
    <w:lvl w:ilvl="0" w:tplc="67989650">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1EEE413D"/>
    <w:multiLevelType w:val="hybridMultilevel"/>
    <w:tmpl w:val="AE7C7F6A"/>
    <w:lvl w:ilvl="0" w:tplc="3AE49C32">
      <w:start w:val="1"/>
      <w:numFmt w:val="decimal"/>
      <w:lvlText w:val="(%1)"/>
      <w:lvlJc w:val="left"/>
      <w:pPr>
        <w:ind w:left="1680" w:hanging="480"/>
      </w:pPr>
      <w:rPr>
        <w:rFonts w:ascii="Times New Roman" w:eastAsia="標楷體" w:hAnsi="Times New Roman" w:hint="default"/>
        <w:b w:val="0"/>
        <w:bCs w:val="0"/>
        <w:i w:val="0"/>
        <w:iCs w:val="0"/>
        <w:dstrike w:val="0"/>
        <w:color w:val="auto"/>
        <w:sz w:val="32"/>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FF24716"/>
    <w:multiLevelType w:val="hybridMultilevel"/>
    <w:tmpl w:val="5F6C251A"/>
    <w:lvl w:ilvl="0" w:tplc="051096BC">
      <w:start w:val="1"/>
      <w:numFmt w:val="decimal"/>
      <w:lvlText w:val="(%1)."/>
      <w:lvlJc w:val="left"/>
      <w:pPr>
        <w:ind w:left="1527" w:hanging="480"/>
      </w:pPr>
      <w:rPr>
        <w:rFonts w:ascii="Georgia" w:hAnsi="Georgia" w:hint="default"/>
        <w:b w:val="0"/>
        <w:bCs w:val="0"/>
        <w:i w:val="0"/>
        <w:iCs w:val="0"/>
        <w:dstrike w:val="0"/>
        <w:color w:val="auto"/>
        <w:sz w:val="28"/>
        <w:szCs w:val="28"/>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nsid w:val="25E3351E"/>
    <w:multiLevelType w:val="hybridMultilevel"/>
    <w:tmpl w:val="EEA0FD56"/>
    <w:lvl w:ilvl="0" w:tplc="09929114">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6FA6F3D"/>
    <w:multiLevelType w:val="hybridMultilevel"/>
    <w:tmpl w:val="831C6BFE"/>
    <w:lvl w:ilvl="0" w:tplc="051096BC">
      <w:start w:val="1"/>
      <w:numFmt w:val="decimal"/>
      <w:lvlText w:val="(%1)."/>
      <w:lvlJc w:val="left"/>
      <w:pPr>
        <w:ind w:left="1680" w:hanging="480"/>
      </w:pPr>
      <w:rPr>
        <w:rFonts w:ascii="Georgia" w:hAnsi="Georgia" w:hint="default"/>
        <w:b w:val="0"/>
        <w:bCs w:val="0"/>
        <w:i w:val="0"/>
        <w:iCs w:val="0"/>
        <w:dstrike w:val="0"/>
        <w:color w:val="auto"/>
        <w:sz w:val="28"/>
        <w:szCs w:val="28"/>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28AE523C"/>
    <w:multiLevelType w:val="hybridMultilevel"/>
    <w:tmpl w:val="76DEB664"/>
    <w:lvl w:ilvl="0" w:tplc="0AEE8856">
      <w:start w:val="1"/>
      <w:numFmt w:val="decimal"/>
      <w:lvlText w:val="%1."/>
      <w:lvlJc w:val="left"/>
      <w:pPr>
        <w:ind w:left="1047" w:hanging="480"/>
      </w:pPr>
      <w:rPr>
        <w:rFonts w:hint="eastAsia"/>
      </w:rPr>
    </w:lvl>
    <w:lvl w:ilvl="1" w:tplc="04090019">
      <w:start w:val="1"/>
      <w:numFmt w:val="ideographTraditional"/>
      <w:lvlText w:val="%2、"/>
      <w:lvlJc w:val="left"/>
      <w:pPr>
        <w:ind w:left="1527" w:hanging="480"/>
      </w:pPr>
    </w:lvl>
    <w:lvl w:ilvl="2" w:tplc="CD7A7F34">
      <w:start w:val="1"/>
      <w:numFmt w:val="lowerLetter"/>
      <w:lvlText w:val="(%3)"/>
      <w:lvlJc w:val="left"/>
      <w:pPr>
        <w:ind w:left="1902" w:hanging="375"/>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29F60A39"/>
    <w:multiLevelType w:val="hybridMultilevel"/>
    <w:tmpl w:val="9AC625FC"/>
    <w:lvl w:ilvl="0" w:tplc="09929114">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308234E0"/>
    <w:multiLevelType w:val="hybridMultilevel"/>
    <w:tmpl w:val="9D74FE2E"/>
    <w:lvl w:ilvl="0" w:tplc="C9CAD1E0">
      <w:start w:val="1"/>
      <w:numFmt w:val="decimal"/>
      <w:pStyle w:val="a"/>
      <w:lvlText w:val="圖%1"/>
      <w:lvlJc w:val="right"/>
      <w:pPr>
        <w:tabs>
          <w:tab w:val="num" w:pos="567"/>
        </w:tabs>
        <w:ind w:left="567" w:hanging="283"/>
      </w:pPr>
      <w:rPr>
        <w:rFonts w:ascii="Times New Roman" w:eastAsia="標楷體" w:hAnsi="Times New Roman" w:cs="Times New Roman" w:hint="default"/>
        <w:b w:val="0"/>
        <w:i/>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F6E2B0B"/>
    <w:multiLevelType w:val="hybridMultilevel"/>
    <w:tmpl w:val="BFDA994A"/>
    <w:lvl w:ilvl="0" w:tplc="6BB46D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ED230C"/>
    <w:multiLevelType w:val="hybridMultilevel"/>
    <w:tmpl w:val="BB38E6CA"/>
    <w:lvl w:ilvl="0" w:tplc="0AEE8856">
      <w:start w:val="1"/>
      <w:numFmt w:val="decimal"/>
      <w:lvlText w:val="%1."/>
      <w:lvlJc w:val="left"/>
      <w:pPr>
        <w:ind w:left="1047" w:hanging="480"/>
      </w:pPr>
      <w:rPr>
        <w:rFonts w:hint="eastAsia"/>
      </w:rPr>
    </w:lvl>
    <w:lvl w:ilvl="1" w:tplc="051096BC">
      <w:start w:val="1"/>
      <w:numFmt w:val="decimal"/>
      <w:lvlText w:val="(%2)."/>
      <w:lvlJc w:val="left"/>
      <w:pPr>
        <w:ind w:left="1527" w:hanging="480"/>
      </w:pPr>
      <w:rPr>
        <w:rFonts w:ascii="Georgia" w:hAnsi="Georgia" w:hint="default"/>
        <w:b w:val="0"/>
        <w:bCs w:val="0"/>
        <w:i w:val="0"/>
        <w:iCs w:val="0"/>
        <w:dstrike w:val="0"/>
        <w:color w:val="auto"/>
        <w:sz w:val="28"/>
        <w:szCs w:val="28"/>
      </w:rPr>
    </w:lvl>
    <w:lvl w:ilvl="2" w:tplc="CD7A7F34">
      <w:start w:val="1"/>
      <w:numFmt w:val="lowerLetter"/>
      <w:lvlText w:val="(%3)"/>
      <w:lvlJc w:val="left"/>
      <w:pPr>
        <w:ind w:left="1902" w:hanging="375"/>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467B134A"/>
    <w:multiLevelType w:val="hybridMultilevel"/>
    <w:tmpl w:val="5F6C251A"/>
    <w:lvl w:ilvl="0" w:tplc="051096BC">
      <w:start w:val="1"/>
      <w:numFmt w:val="decimal"/>
      <w:lvlText w:val="(%1)."/>
      <w:lvlJc w:val="left"/>
      <w:pPr>
        <w:ind w:left="1527" w:hanging="480"/>
      </w:pPr>
      <w:rPr>
        <w:rFonts w:ascii="Georgia" w:hAnsi="Georgia" w:hint="default"/>
        <w:b w:val="0"/>
        <w:bCs w:val="0"/>
        <w:i w:val="0"/>
        <w:iCs w:val="0"/>
        <w:dstrike w:val="0"/>
        <w:color w:val="auto"/>
        <w:sz w:val="28"/>
        <w:szCs w:val="28"/>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3">
    <w:nsid w:val="497E1EC0"/>
    <w:multiLevelType w:val="hybridMultilevel"/>
    <w:tmpl w:val="6E24D86E"/>
    <w:lvl w:ilvl="0" w:tplc="1852795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4DF873AE"/>
    <w:multiLevelType w:val="hybridMultilevel"/>
    <w:tmpl w:val="50AEAD58"/>
    <w:lvl w:ilvl="0" w:tplc="3418E3B0">
      <w:start w:val="1"/>
      <w:numFmt w:val="taiwaneseCountingThousand"/>
      <w:lvlText w:val="(%1)"/>
      <w:lvlJc w:val="left"/>
      <w:pPr>
        <w:tabs>
          <w:tab w:val="num" w:pos="360"/>
        </w:tabs>
        <w:ind w:left="360" w:hanging="360"/>
      </w:pPr>
      <w:rPr>
        <w:rFonts w:hint="default"/>
      </w:rPr>
    </w:lvl>
    <w:lvl w:ilvl="1" w:tplc="04090019" w:tentative="1">
      <w:start w:val="1"/>
      <w:numFmt w:val="lowerLetter"/>
      <w:lvlText w:val="%2."/>
      <w:lvlJc w:val="left"/>
      <w:pPr>
        <w:tabs>
          <w:tab w:val="num" w:pos="672"/>
        </w:tabs>
        <w:ind w:left="672" w:hanging="360"/>
      </w:pPr>
    </w:lvl>
    <w:lvl w:ilvl="2" w:tplc="0409001B" w:tentative="1">
      <w:start w:val="1"/>
      <w:numFmt w:val="lowerRoman"/>
      <w:lvlText w:val="%3."/>
      <w:lvlJc w:val="right"/>
      <w:pPr>
        <w:tabs>
          <w:tab w:val="num" w:pos="1392"/>
        </w:tabs>
        <w:ind w:left="1392" w:hanging="180"/>
      </w:pPr>
    </w:lvl>
    <w:lvl w:ilvl="3" w:tplc="0409000F" w:tentative="1">
      <w:start w:val="1"/>
      <w:numFmt w:val="decimal"/>
      <w:lvlText w:val="%4."/>
      <w:lvlJc w:val="left"/>
      <w:pPr>
        <w:tabs>
          <w:tab w:val="num" w:pos="2112"/>
        </w:tabs>
        <w:ind w:left="2112" w:hanging="360"/>
      </w:pPr>
    </w:lvl>
    <w:lvl w:ilvl="4" w:tplc="04090019" w:tentative="1">
      <w:start w:val="1"/>
      <w:numFmt w:val="lowerLetter"/>
      <w:lvlText w:val="%5."/>
      <w:lvlJc w:val="left"/>
      <w:pPr>
        <w:tabs>
          <w:tab w:val="num" w:pos="2832"/>
        </w:tabs>
        <w:ind w:left="2832" w:hanging="360"/>
      </w:pPr>
    </w:lvl>
    <w:lvl w:ilvl="5" w:tplc="0409001B" w:tentative="1">
      <w:start w:val="1"/>
      <w:numFmt w:val="lowerRoman"/>
      <w:lvlText w:val="%6."/>
      <w:lvlJc w:val="right"/>
      <w:pPr>
        <w:tabs>
          <w:tab w:val="num" w:pos="3552"/>
        </w:tabs>
        <w:ind w:left="3552" w:hanging="180"/>
      </w:pPr>
    </w:lvl>
    <w:lvl w:ilvl="6" w:tplc="0409000F" w:tentative="1">
      <w:start w:val="1"/>
      <w:numFmt w:val="decimal"/>
      <w:lvlText w:val="%7."/>
      <w:lvlJc w:val="left"/>
      <w:pPr>
        <w:tabs>
          <w:tab w:val="num" w:pos="4272"/>
        </w:tabs>
        <w:ind w:left="4272" w:hanging="360"/>
      </w:pPr>
    </w:lvl>
    <w:lvl w:ilvl="7" w:tplc="04090019" w:tentative="1">
      <w:start w:val="1"/>
      <w:numFmt w:val="lowerLetter"/>
      <w:lvlText w:val="%8."/>
      <w:lvlJc w:val="left"/>
      <w:pPr>
        <w:tabs>
          <w:tab w:val="num" w:pos="4992"/>
        </w:tabs>
        <w:ind w:left="4992" w:hanging="360"/>
      </w:pPr>
    </w:lvl>
    <w:lvl w:ilvl="8" w:tplc="0409001B" w:tentative="1">
      <w:start w:val="1"/>
      <w:numFmt w:val="lowerRoman"/>
      <w:lvlText w:val="%9."/>
      <w:lvlJc w:val="right"/>
      <w:pPr>
        <w:tabs>
          <w:tab w:val="num" w:pos="5712"/>
        </w:tabs>
        <w:ind w:left="5712" w:hanging="180"/>
      </w:pPr>
    </w:lvl>
  </w:abstractNum>
  <w:abstractNum w:abstractNumId="15">
    <w:nsid w:val="4E362DC6"/>
    <w:multiLevelType w:val="hybridMultilevel"/>
    <w:tmpl w:val="AE7C7F6A"/>
    <w:lvl w:ilvl="0" w:tplc="3AE49C32">
      <w:start w:val="1"/>
      <w:numFmt w:val="decimal"/>
      <w:lvlText w:val="(%1)"/>
      <w:lvlJc w:val="left"/>
      <w:pPr>
        <w:ind w:left="1680" w:hanging="480"/>
      </w:pPr>
      <w:rPr>
        <w:rFonts w:ascii="Times New Roman" w:eastAsia="標楷體" w:hAnsi="Times New Roman" w:hint="default"/>
        <w:b w:val="0"/>
        <w:bCs w:val="0"/>
        <w:i w:val="0"/>
        <w:iCs w:val="0"/>
        <w:dstrike w:val="0"/>
        <w:color w:val="auto"/>
        <w:sz w:val="32"/>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4EA02747"/>
    <w:multiLevelType w:val="hybridMultilevel"/>
    <w:tmpl w:val="D8B4F242"/>
    <w:lvl w:ilvl="0" w:tplc="1ED65EE4">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62465725"/>
    <w:multiLevelType w:val="hybridMultilevel"/>
    <w:tmpl w:val="DD12763E"/>
    <w:lvl w:ilvl="0" w:tplc="DECCD804">
      <w:start w:val="1"/>
      <w:numFmt w:val="bullet"/>
      <w:lvlText w:val="•"/>
      <w:lvlJc w:val="left"/>
      <w:pPr>
        <w:ind w:left="2160" w:hanging="480"/>
      </w:pPr>
      <w:rPr>
        <w:rFonts w:ascii="Arial" w:hAnsi="Arial"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18">
    <w:nsid w:val="64527316"/>
    <w:multiLevelType w:val="hybridMultilevel"/>
    <w:tmpl w:val="3086FC54"/>
    <w:lvl w:ilvl="0" w:tplc="09929114">
      <w:start w:val="1"/>
      <w:numFmt w:val="decimal"/>
      <w:lvlText w:val="(%1)"/>
      <w:lvlJc w:val="left"/>
      <w:pPr>
        <w:ind w:left="1680" w:hanging="480"/>
      </w:pPr>
      <w:rPr>
        <w:rFonts w:hint="default"/>
        <w:b w:val="0"/>
        <w:bCs w:val="0"/>
        <w:i w:val="0"/>
        <w:iCs w:val="0"/>
        <w:dstrike w:val="0"/>
        <w:color w:val="auto"/>
        <w:sz w:val="28"/>
        <w:szCs w:val="28"/>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nsid w:val="65C80502"/>
    <w:multiLevelType w:val="hybridMultilevel"/>
    <w:tmpl w:val="831C6BFE"/>
    <w:lvl w:ilvl="0" w:tplc="051096BC">
      <w:start w:val="1"/>
      <w:numFmt w:val="decimal"/>
      <w:lvlText w:val="(%1)."/>
      <w:lvlJc w:val="left"/>
      <w:pPr>
        <w:ind w:left="1680" w:hanging="480"/>
      </w:pPr>
      <w:rPr>
        <w:rFonts w:ascii="Georgia" w:hAnsi="Georgia" w:hint="default"/>
        <w:b w:val="0"/>
        <w:bCs w:val="0"/>
        <w:i w:val="0"/>
        <w:iCs w:val="0"/>
        <w:dstrike w:val="0"/>
        <w:color w:val="auto"/>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6CDE6070"/>
    <w:multiLevelType w:val="hybridMultilevel"/>
    <w:tmpl w:val="3F02B466"/>
    <w:lvl w:ilvl="0" w:tplc="4D006CA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C61C78"/>
    <w:multiLevelType w:val="hybridMultilevel"/>
    <w:tmpl w:val="571430DE"/>
    <w:lvl w:ilvl="0" w:tplc="8682BF82">
      <w:start w:val="1"/>
      <w:numFmt w:val="decimal"/>
      <w:lvlText w:val="%1."/>
      <w:lvlJc w:val="left"/>
      <w:pPr>
        <w:ind w:left="1080" w:hanging="360"/>
      </w:pPr>
      <w:rPr>
        <w:rFonts w:ascii="Times New Roman" w:hAnsi="Times New Roman" w:cstheme="minorBidi"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704E3591"/>
    <w:multiLevelType w:val="hybridMultilevel"/>
    <w:tmpl w:val="A77494C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745F447E"/>
    <w:multiLevelType w:val="hybridMultilevel"/>
    <w:tmpl w:val="76DEB664"/>
    <w:lvl w:ilvl="0" w:tplc="0AEE8856">
      <w:start w:val="1"/>
      <w:numFmt w:val="decimal"/>
      <w:lvlText w:val="%1."/>
      <w:lvlJc w:val="left"/>
      <w:pPr>
        <w:ind w:left="1047" w:hanging="480"/>
      </w:pPr>
      <w:rPr>
        <w:rFonts w:hint="eastAsia"/>
      </w:rPr>
    </w:lvl>
    <w:lvl w:ilvl="1" w:tplc="04090019">
      <w:start w:val="1"/>
      <w:numFmt w:val="ideographTraditional"/>
      <w:lvlText w:val="%2、"/>
      <w:lvlJc w:val="left"/>
      <w:pPr>
        <w:ind w:left="1527" w:hanging="480"/>
      </w:pPr>
    </w:lvl>
    <w:lvl w:ilvl="2" w:tplc="CD7A7F34">
      <w:start w:val="1"/>
      <w:numFmt w:val="lowerLetter"/>
      <w:lvlText w:val="(%3)"/>
      <w:lvlJc w:val="left"/>
      <w:pPr>
        <w:ind w:left="1902" w:hanging="375"/>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75D122C4"/>
    <w:multiLevelType w:val="hybridMultilevel"/>
    <w:tmpl w:val="5F6C251A"/>
    <w:lvl w:ilvl="0" w:tplc="051096BC">
      <w:start w:val="1"/>
      <w:numFmt w:val="decimal"/>
      <w:lvlText w:val="(%1)."/>
      <w:lvlJc w:val="left"/>
      <w:pPr>
        <w:ind w:left="1527" w:hanging="480"/>
      </w:pPr>
      <w:rPr>
        <w:rFonts w:ascii="Georgia" w:hAnsi="Georgia" w:hint="default"/>
        <w:b w:val="0"/>
        <w:bCs w:val="0"/>
        <w:i w:val="0"/>
        <w:iCs w:val="0"/>
        <w:dstrike w:val="0"/>
        <w:color w:val="auto"/>
        <w:sz w:val="28"/>
        <w:szCs w:val="28"/>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5">
    <w:nsid w:val="77705194"/>
    <w:multiLevelType w:val="hybridMultilevel"/>
    <w:tmpl w:val="65EA47D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7B9566E3"/>
    <w:multiLevelType w:val="hybridMultilevel"/>
    <w:tmpl w:val="A488991A"/>
    <w:lvl w:ilvl="0" w:tplc="09929114">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0"/>
  </w:num>
  <w:num w:numId="2">
    <w:abstractNumId w:val="20"/>
  </w:num>
  <w:num w:numId="3">
    <w:abstractNumId w:val="0"/>
  </w:num>
  <w:num w:numId="4">
    <w:abstractNumId w:val="13"/>
  </w:num>
  <w:num w:numId="5">
    <w:abstractNumId w:val="23"/>
  </w:num>
  <w:num w:numId="6">
    <w:abstractNumId w:val="25"/>
  </w:num>
  <w:num w:numId="7">
    <w:abstractNumId w:val="6"/>
  </w:num>
  <w:num w:numId="8">
    <w:abstractNumId w:val="19"/>
  </w:num>
  <w:num w:numId="9">
    <w:abstractNumId w:val="9"/>
  </w:num>
  <w:num w:numId="10">
    <w:abstractNumId w:val="1"/>
  </w:num>
  <w:num w:numId="11">
    <w:abstractNumId w:val="11"/>
  </w:num>
  <w:num w:numId="12">
    <w:abstractNumId w:val="17"/>
  </w:num>
  <w:num w:numId="13">
    <w:abstractNumId w:val="22"/>
  </w:num>
  <w:num w:numId="14">
    <w:abstractNumId w:val="14"/>
  </w:num>
  <w:num w:numId="15">
    <w:abstractNumId w:val="12"/>
  </w:num>
  <w:num w:numId="16">
    <w:abstractNumId w:val="4"/>
  </w:num>
  <w:num w:numId="17">
    <w:abstractNumId w:val="24"/>
  </w:num>
  <w:num w:numId="18">
    <w:abstractNumId w:val="7"/>
  </w:num>
  <w:num w:numId="19">
    <w:abstractNumId w:val="21"/>
  </w:num>
  <w:num w:numId="20">
    <w:abstractNumId w:val="2"/>
  </w:num>
  <w:num w:numId="21">
    <w:abstractNumId w:val="18"/>
  </w:num>
  <w:num w:numId="22">
    <w:abstractNumId w:val="5"/>
  </w:num>
  <w:num w:numId="23">
    <w:abstractNumId w:val="26"/>
  </w:num>
  <w:num w:numId="24">
    <w:abstractNumId w:val="8"/>
  </w:num>
  <w:num w:numId="25">
    <w:abstractNumId w:val="15"/>
  </w:num>
  <w:num w:numId="26">
    <w:abstractNumId w:val="1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6DE"/>
    <w:rsid w:val="000413AD"/>
    <w:rsid w:val="00042256"/>
    <w:rsid w:val="0006115A"/>
    <w:rsid w:val="00067B85"/>
    <w:rsid w:val="00071DCE"/>
    <w:rsid w:val="000A5A7E"/>
    <w:rsid w:val="000F7331"/>
    <w:rsid w:val="0014431B"/>
    <w:rsid w:val="00153D39"/>
    <w:rsid w:val="0016714E"/>
    <w:rsid w:val="00187E7D"/>
    <w:rsid w:val="00193960"/>
    <w:rsid w:val="001A3EFC"/>
    <w:rsid w:val="001B64C7"/>
    <w:rsid w:val="001F5A32"/>
    <w:rsid w:val="002213BF"/>
    <w:rsid w:val="00230F77"/>
    <w:rsid w:val="00233F4D"/>
    <w:rsid w:val="00234408"/>
    <w:rsid w:val="00271D7C"/>
    <w:rsid w:val="00284A93"/>
    <w:rsid w:val="002B102E"/>
    <w:rsid w:val="002C030C"/>
    <w:rsid w:val="002F1C66"/>
    <w:rsid w:val="00302F13"/>
    <w:rsid w:val="00303065"/>
    <w:rsid w:val="003038A7"/>
    <w:rsid w:val="00304328"/>
    <w:rsid w:val="003069C8"/>
    <w:rsid w:val="00314026"/>
    <w:rsid w:val="00322475"/>
    <w:rsid w:val="00344F99"/>
    <w:rsid w:val="00356D6D"/>
    <w:rsid w:val="003815CE"/>
    <w:rsid w:val="0038313E"/>
    <w:rsid w:val="003C6914"/>
    <w:rsid w:val="003F09E4"/>
    <w:rsid w:val="004018A3"/>
    <w:rsid w:val="0040352B"/>
    <w:rsid w:val="00416E43"/>
    <w:rsid w:val="00461C51"/>
    <w:rsid w:val="00493DFD"/>
    <w:rsid w:val="004D1662"/>
    <w:rsid w:val="004F2738"/>
    <w:rsid w:val="00501623"/>
    <w:rsid w:val="00506DBD"/>
    <w:rsid w:val="005357B4"/>
    <w:rsid w:val="00535EC3"/>
    <w:rsid w:val="00583B10"/>
    <w:rsid w:val="00590F07"/>
    <w:rsid w:val="005915D1"/>
    <w:rsid w:val="005A1395"/>
    <w:rsid w:val="005B0555"/>
    <w:rsid w:val="005B63F9"/>
    <w:rsid w:val="005D3CE0"/>
    <w:rsid w:val="006116EF"/>
    <w:rsid w:val="00614599"/>
    <w:rsid w:val="00670525"/>
    <w:rsid w:val="00684ADE"/>
    <w:rsid w:val="0069631D"/>
    <w:rsid w:val="006A0C42"/>
    <w:rsid w:val="006A2933"/>
    <w:rsid w:val="00714C30"/>
    <w:rsid w:val="007654D5"/>
    <w:rsid w:val="007948D1"/>
    <w:rsid w:val="007A1F97"/>
    <w:rsid w:val="007A2787"/>
    <w:rsid w:val="007C6F79"/>
    <w:rsid w:val="007D432B"/>
    <w:rsid w:val="00813FDC"/>
    <w:rsid w:val="00814073"/>
    <w:rsid w:val="00815A9A"/>
    <w:rsid w:val="008529B9"/>
    <w:rsid w:val="0088366F"/>
    <w:rsid w:val="00892280"/>
    <w:rsid w:val="008A32C9"/>
    <w:rsid w:val="008A503B"/>
    <w:rsid w:val="008F27C4"/>
    <w:rsid w:val="009029E0"/>
    <w:rsid w:val="00916B14"/>
    <w:rsid w:val="0095135B"/>
    <w:rsid w:val="0096397C"/>
    <w:rsid w:val="009C4165"/>
    <w:rsid w:val="009C5ECB"/>
    <w:rsid w:val="009D10CE"/>
    <w:rsid w:val="009F2D46"/>
    <w:rsid w:val="00A051F4"/>
    <w:rsid w:val="00A12DFF"/>
    <w:rsid w:val="00A16DED"/>
    <w:rsid w:val="00A17F3E"/>
    <w:rsid w:val="00A23D05"/>
    <w:rsid w:val="00A3083F"/>
    <w:rsid w:val="00A3749B"/>
    <w:rsid w:val="00A61C44"/>
    <w:rsid w:val="00A676DE"/>
    <w:rsid w:val="00A81F19"/>
    <w:rsid w:val="00A92ED0"/>
    <w:rsid w:val="00AB440F"/>
    <w:rsid w:val="00AE19BF"/>
    <w:rsid w:val="00AF3391"/>
    <w:rsid w:val="00B04410"/>
    <w:rsid w:val="00B158AA"/>
    <w:rsid w:val="00B70CE9"/>
    <w:rsid w:val="00B85B2C"/>
    <w:rsid w:val="00BC1F0F"/>
    <w:rsid w:val="00C04366"/>
    <w:rsid w:val="00C17A27"/>
    <w:rsid w:val="00C24602"/>
    <w:rsid w:val="00C3527E"/>
    <w:rsid w:val="00C7061F"/>
    <w:rsid w:val="00C80E52"/>
    <w:rsid w:val="00C86A79"/>
    <w:rsid w:val="00CB374A"/>
    <w:rsid w:val="00CB6145"/>
    <w:rsid w:val="00CC170A"/>
    <w:rsid w:val="00CF26F7"/>
    <w:rsid w:val="00CF7C77"/>
    <w:rsid w:val="00D10233"/>
    <w:rsid w:val="00D1051A"/>
    <w:rsid w:val="00D31241"/>
    <w:rsid w:val="00D56323"/>
    <w:rsid w:val="00D7118C"/>
    <w:rsid w:val="00DA27AB"/>
    <w:rsid w:val="00DB0A3D"/>
    <w:rsid w:val="00DB3DD8"/>
    <w:rsid w:val="00DC5C5C"/>
    <w:rsid w:val="00DC76E1"/>
    <w:rsid w:val="00DF4436"/>
    <w:rsid w:val="00E15FFB"/>
    <w:rsid w:val="00E2043E"/>
    <w:rsid w:val="00E511C8"/>
    <w:rsid w:val="00E6583A"/>
    <w:rsid w:val="00E710DC"/>
    <w:rsid w:val="00E73A84"/>
    <w:rsid w:val="00ED6BF7"/>
    <w:rsid w:val="00EF2EA0"/>
    <w:rsid w:val="00F0340D"/>
    <w:rsid w:val="00F06C98"/>
    <w:rsid w:val="00F154BD"/>
    <w:rsid w:val="00F223D8"/>
    <w:rsid w:val="00F248E8"/>
    <w:rsid w:val="00F30BF4"/>
    <w:rsid w:val="00F639E3"/>
    <w:rsid w:val="00F65238"/>
    <w:rsid w:val="00F66FEB"/>
    <w:rsid w:val="00FA6025"/>
    <w:rsid w:val="00FA6776"/>
    <w:rsid w:val="00FD38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440F"/>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676DE"/>
    <w:pPr>
      <w:ind w:leftChars="200" w:left="480"/>
    </w:pPr>
  </w:style>
  <w:style w:type="paragraph" w:styleId="a5">
    <w:name w:val="header"/>
    <w:basedOn w:val="a0"/>
    <w:link w:val="a6"/>
    <w:uiPriority w:val="99"/>
    <w:unhideWhenUsed/>
    <w:qFormat/>
    <w:rsid w:val="00F639E3"/>
    <w:pPr>
      <w:tabs>
        <w:tab w:val="center" w:pos="4153"/>
        <w:tab w:val="right" w:pos="8306"/>
      </w:tabs>
      <w:snapToGrid w:val="0"/>
    </w:pPr>
    <w:rPr>
      <w:sz w:val="20"/>
      <w:szCs w:val="20"/>
    </w:rPr>
  </w:style>
  <w:style w:type="character" w:customStyle="1" w:styleId="a6">
    <w:name w:val="頁首 字元"/>
    <w:basedOn w:val="a1"/>
    <w:link w:val="a5"/>
    <w:uiPriority w:val="99"/>
    <w:rsid w:val="00F639E3"/>
    <w:rPr>
      <w:sz w:val="20"/>
      <w:szCs w:val="20"/>
    </w:rPr>
  </w:style>
  <w:style w:type="paragraph" w:styleId="a7">
    <w:name w:val="footer"/>
    <w:basedOn w:val="a0"/>
    <w:link w:val="a8"/>
    <w:uiPriority w:val="99"/>
    <w:unhideWhenUsed/>
    <w:rsid w:val="00F639E3"/>
    <w:pPr>
      <w:tabs>
        <w:tab w:val="center" w:pos="4153"/>
        <w:tab w:val="right" w:pos="8306"/>
      </w:tabs>
      <w:snapToGrid w:val="0"/>
    </w:pPr>
    <w:rPr>
      <w:sz w:val="20"/>
      <w:szCs w:val="20"/>
    </w:rPr>
  </w:style>
  <w:style w:type="character" w:customStyle="1" w:styleId="a8">
    <w:name w:val="頁尾 字元"/>
    <w:basedOn w:val="a1"/>
    <w:link w:val="a7"/>
    <w:uiPriority w:val="99"/>
    <w:rsid w:val="00F639E3"/>
    <w:rPr>
      <w:sz w:val="20"/>
      <w:szCs w:val="20"/>
    </w:rPr>
  </w:style>
  <w:style w:type="paragraph" w:customStyle="1" w:styleId="a03">
    <w:name w:val="a03"/>
    <w:basedOn w:val="a0"/>
    <w:qFormat/>
    <w:rsid w:val="00B85B2C"/>
    <w:pPr>
      <w:widowControl/>
      <w:spacing w:line="200" w:lineRule="atLeast"/>
    </w:pPr>
    <w:rPr>
      <w:i/>
      <w:noProof/>
      <w:kern w:val="0"/>
      <w:szCs w:val="18"/>
    </w:rPr>
  </w:style>
  <w:style w:type="paragraph" w:customStyle="1" w:styleId="a">
    <w:name w:val="圖次"/>
    <w:basedOn w:val="a0"/>
    <w:next w:val="a0"/>
    <w:rsid w:val="009C4165"/>
    <w:pPr>
      <w:widowControl/>
      <w:numPr>
        <w:numId w:val="9"/>
      </w:numPr>
      <w:suppressAutoHyphens/>
      <w:spacing w:afterLines="50" w:line="480" w:lineRule="exact"/>
      <w:jc w:val="center"/>
    </w:pPr>
    <w:rPr>
      <w:rFonts w:ascii="Arial" w:eastAsia="標楷體" w:hAnsi="Arial" w:cs="Times New Roman"/>
      <w:i/>
      <w:szCs w:val="24"/>
    </w:rPr>
  </w:style>
  <w:style w:type="paragraph" w:styleId="a9">
    <w:name w:val="footnote text"/>
    <w:basedOn w:val="a0"/>
    <w:link w:val="aa"/>
    <w:uiPriority w:val="99"/>
    <w:unhideWhenUsed/>
    <w:rsid w:val="00AF3391"/>
    <w:pPr>
      <w:widowControl/>
    </w:pPr>
    <w:rPr>
      <w:kern w:val="0"/>
      <w:sz w:val="18"/>
      <w:szCs w:val="20"/>
      <w:lang w:eastAsia="en-US"/>
    </w:rPr>
  </w:style>
  <w:style w:type="character" w:customStyle="1" w:styleId="aa">
    <w:name w:val="註腳文字 字元"/>
    <w:basedOn w:val="a1"/>
    <w:link w:val="a9"/>
    <w:uiPriority w:val="99"/>
    <w:rsid w:val="00AF3391"/>
    <w:rPr>
      <w:kern w:val="0"/>
      <w:sz w:val="18"/>
      <w:szCs w:val="20"/>
      <w:lang w:eastAsia="en-US"/>
    </w:rPr>
  </w:style>
  <w:style w:type="character" w:styleId="ab">
    <w:name w:val="footnote reference"/>
    <w:basedOn w:val="a1"/>
    <w:uiPriority w:val="99"/>
    <w:semiHidden/>
    <w:unhideWhenUsed/>
    <w:rsid w:val="00AF3391"/>
    <w:rPr>
      <w:color w:val="000000" w:themeColor="text1"/>
      <w:vertAlign w:val="superscript"/>
    </w:rPr>
  </w:style>
  <w:style w:type="table" w:styleId="-5">
    <w:name w:val="Light List Accent 5"/>
    <w:basedOn w:val="a2"/>
    <w:uiPriority w:val="61"/>
    <w:rsid w:val="009F2D46"/>
    <w:rPr>
      <w:kern w:val="0"/>
      <w:sz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Light List Accent 6"/>
    <w:basedOn w:val="a2"/>
    <w:uiPriority w:val="61"/>
    <w:rsid w:val="00F30BF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c">
    <w:name w:val="Balloon Text"/>
    <w:basedOn w:val="a0"/>
    <w:link w:val="ad"/>
    <w:uiPriority w:val="99"/>
    <w:semiHidden/>
    <w:unhideWhenUsed/>
    <w:rsid w:val="00F30BF4"/>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F30BF4"/>
    <w:rPr>
      <w:rFonts w:asciiTheme="majorHAnsi" w:eastAsiaTheme="majorEastAsia" w:hAnsiTheme="majorHAnsi" w:cstheme="majorBidi"/>
      <w:sz w:val="18"/>
      <w:szCs w:val="18"/>
    </w:rPr>
  </w:style>
  <w:style w:type="character" w:styleId="ae">
    <w:name w:val="annotation reference"/>
    <w:basedOn w:val="a1"/>
    <w:uiPriority w:val="99"/>
    <w:semiHidden/>
    <w:unhideWhenUsed/>
    <w:rsid w:val="00EF2EA0"/>
    <w:rPr>
      <w:sz w:val="18"/>
      <w:szCs w:val="18"/>
    </w:rPr>
  </w:style>
  <w:style w:type="paragraph" w:styleId="af">
    <w:name w:val="annotation text"/>
    <w:basedOn w:val="a0"/>
    <w:link w:val="af0"/>
    <w:uiPriority w:val="99"/>
    <w:semiHidden/>
    <w:unhideWhenUsed/>
    <w:rsid w:val="00EF2EA0"/>
  </w:style>
  <w:style w:type="character" w:customStyle="1" w:styleId="af0">
    <w:name w:val="註解文字 字元"/>
    <w:basedOn w:val="a1"/>
    <w:link w:val="af"/>
    <w:uiPriority w:val="99"/>
    <w:semiHidden/>
    <w:rsid w:val="00EF2EA0"/>
  </w:style>
  <w:style w:type="paragraph" w:styleId="af1">
    <w:name w:val="annotation subject"/>
    <w:basedOn w:val="af"/>
    <w:next w:val="af"/>
    <w:link w:val="af2"/>
    <w:uiPriority w:val="99"/>
    <w:semiHidden/>
    <w:unhideWhenUsed/>
    <w:rsid w:val="00EF2EA0"/>
    <w:rPr>
      <w:b/>
      <w:bCs/>
    </w:rPr>
  </w:style>
  <w:style w:type="character" w:customStyle="1" w:styleId="af2">
    <w:name w:val="註解主旨 字元"/>
    <w:basedOn w:val="af0"/>
    <w:link w:val="af1"/>
    <w:uiPriority w:val="99"/>
    <w:semiHidden/>
    <w:rsid w:val="00EF2E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676DE"/>
    <w:pPr>
      <w:ind w:leftChars="200" w:left="480"/>
    </w:pPr>
  </w:style>
  <w:style w:type="paragraph" w:styleId="a5">
    <w:name w:val="header"/>
    <w:basedOn w:val="a0"/>
    <w:link w:val="a6"/>
    <w:uiPriority w:val="99"/>
    <w:unhideWhenUsed/>
    <w:qFormat/>
    <w:rsid w:val="00F639E3"/>
    <w:pPr>
      <w:tabs>
        <w:tab w:val="center" w:pos="4153"/>
        <w:tab w:val="right" w:pos="8306"/>
      </w:tabs>
      <w:snapToGrid w:val="0"/>
    </w:pPr>
    <w:rPr>
      <w:sz w:val="20"/>
      <w:szCs w:val="20"/>
    </w:rPr>
  </w:style>
  <w:style w:type="character" w:customStyle="1" w:styleId="a6">
    <w:name w:val="頁首 字元"/>
    <w:basedOn w:val="a1"/>
    <w:link w:val="a5"/>
    <w:uiPriority w:val="99"/>
    <w:rsid w:val="00F639E3"/>
    <w:rPr>
      <w:sz w:val="20"/>
      <w:szCs w:val="20"/>
    </w:rPr>
  </w:style>
  <w:style w:type="paragraph" w:styleId="a7">
    <w:name w:val="footer"/>
    <w:basedOn w:val="a0"/>
    <w:link w:val="a8"/>
    <w:uiPriority w:val="99"/>
    <w:unhideWhenUsed/>
    <w:rsid w:val="00F639E3"/>
    <w:pPr>
      <w:tabs>
        <w:tab w:val="center" w:pos="4153"/>
        <w:tab w:val="right" w:pos="8306"/>
      </w:tabs>
      <w:snapToGrid w:val="0"/>
    </w:pPr>
    <w:rPr>
      <w:sz w:val="20"/>
      <w:szCs w:val="20"/>
    </w:rPr>
  </w:style>
  <w:style w:type="character" w:customStyle="1" w:styleId="a8">
    <w:name w:val="頁尾 字元"/>
    <w:basedOn w:val="a1"/>
    <w:link w:val="a7"/>
    <w:uiPriority w:val="99"/>
    <w:rsid w:val="00F639E3"/>
    <w:rPr>
      <w:sz w:val="20"/>
      <w:szCs w:val="20"/>
    </w:rPr>
  </w:style>
  <w:style w:type="paragraph" w:customStyle="1" w:styleId="a03">
    <w:name w:val="a03"/>
    <w:basedOn w:val="a0"/>
    <w:qFormat/>
    <w:rsid w:val="00B85B2C"/>
    <w:pPr>
      <w:widowControl/>
      <w:spacing w:line="200" w:lineRule="atLeast"/>
    </w:pPr>
    <w:rPr>
      <w:i/>
      <w:noProof/>
      <w:kern w:val="0"/>
      <w:szCs w:val="18"/>
    </w:rPr>
  </w:style>
  <w:style w:type="paragraph" w:customStyle="1" w:styleId="a">
    <w:name w:val="圖次"/>
    <w:basedOn w:val="a0"/>
    <w:next w:val="a0"/>
    <w:rsid w:val="009C4165"/>
    <w:pPr>
      <w:widowControl/>
      <w:numPr>
        <w:numId w:val="9"/>
      </w:numPr>
      <w:suppressAutoHyphens/>
      <w:spacing w:afterLines="50" w:line="480" w:lineRule="exact"/>
      <w:jc w:val="center"/>
    </w:pPr>
    <w:rPr>
      <w:rFonts w:ascii="Arial" w:eastAsia="標楷體" w:hAnsi="Arial" w:cs="Times New Roman"/>
      <w:i/>
      <w:szCs w:val="24"/>
    </w:rPr>
  </w:style>
  <w:style w:type="paragraph" w:styleId="a9">
    <w:name w:val="footnote text"/>
    <w:basedOn w:val="a0"/>
    <w:link w:val="aa"/>
    <w:uiPriority w:val="99"/>
    <w:unhideWhenUsed/>
    <w:rsid w:val="00AF3391"/>
    <w:pPr>
      <w:widowControl/>
    </w:pPr>
    <w:rPr>
      <w:kern w:val="0"/>
      <w:sz w:val="18"/>
      <w:szCs w:val="20"/>
      <w:lang w:eastAsia="en-US"/>
    </w:rPr>
  </w:style>
  <w:style w:type="character" w:customStyle="1" w:styleId="aa">
    <w:name w:val="註腳文字 字元"/>
    <w:basedOn w:val="a1"/>
    <w:link w:val="a9"/>
    <w:uiPriority w:val="99"/>
    <w:rsid w:val="00AF3391"/>
    <w:rPr>
      <w:kern w:val="0"/>
      <w:sz w:val="18"/>
      <w:szCs w:val="20"/>
      <w:lang w:eastAsia="en-US"/>
    </w:rPr>
  </w:style>
  <w:style w:type="character" w:styleId="ab">
    <w:name w:val="footnote reference"/>
    <w:basedOn w:val="a1"/>
    <w:uiPriority w:val="99"/>
    <w:semiHidden/>
    <w:unhideWhenUsed/>
    <w:rsid w:val="00AF3391"/>
    <w:rPr>
      <w:color w:val="000000" w:themeColor="text1"/>
      <w:vertAlign w:val="superscript"/>
    </w:rPr>
  </w:style>
  <w:style w:type="table" w:styleId="-5">
    <w:name w:val="Light List Accent 5"/>
    <w:basedOn w:val="a2"/>
    <w:uiPriority w:val="61"/>
    <w:rsid w:val="009F2D46"/>
    <w:rPr>
      <w:kern w:val="0"/>
      <w:sz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Light List Accent 6"/>
    <w:basedOn w:val="a2"/>
    <w:uiPriority w:val="61"/>
    <w:rsid w:val="00F30BF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c">
    <w:name w:val="Balloon Text"/>
    <w:basedOn w:val="a0"/>
    <w:link w:val="ad"/>
    <w:uiPriority w:val="99"/>
    <w:semiHidden/>
    <w:unhideWhenUsed/>
    <w:rsid w:val="00F30BF4"/>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F30BF4"/>
    <w:rPr>
      <w:rFonts w:asciiTheme="majorHAnsi" w:eastAsiaTheme="majorEastAsia" w:hAnsiTheme="majorHAnsi" w:cstheme="majorBidi"/>
      <w:sz w:val="18"/>
      <w:szCs w:val="18"/>
    </w:rPr>
  </w:style>
  <w:style w:type="character" w:styleId="ae">
    <w:name w:val="annotation reference"/>
    <w:basedOn w:val="a1"/>
    <w:uiPriority w:val="99"/>
    <w:semiHidden/>
    <w:unhideWhenUsed/>
    <w:rsid w:val="00EF2EA0"/>
    <w:rPr>
      <w:sz w:val="18"/>
      <w:szCs w:val="18"/>
    </w:rPr>
  </w:style>
  <w:style w:type="paragraph" w:styleId="af">
    <w:name w:val="annotation text"/>
    <w:basedOn w:val="a0"/>
    <w:link w:val="af0"/>
    <w:uiPriority w:val="99"/>
    <w:semiHidden/>
    <w:unhideWhenUsed/>
    <w:rsid w:val="00EF2EA0"/>
  </w:style>
  <w:style w:type="character" w:customStyle="1" w:styleId="af0">
    <w:name w:val="註解文字 字元"/>
    <w:basedOn w:val="a1"/>
    <w:link w:val="af"/>
    <w:uiPriority w:val="99"/>
    <w:semiHidden/>
    <w:rsid w:val="00EF2EA0"/>
  </w:style>
  <w:style w:type="paragraph" w:styleId="af1">
    <w:name w:val="annotation subject"/>
    <w:basedOn w:val="af"/>
    <w:next w:val="af"/>
    <w:link w:val="af2"/>
    <w:uiPriority w:val="99"/>
    <w:semiHidden/>
    <w:unhideWhenUsed/>
    <w:rsid w:val="00EF2EA0"/>
    <w:rPr>
      <w:b/>
      <w:bCs/>
    </w:rPr>
  </w:style>
  <w:style w:type="character" w:customStyle="1" w:styleId="af2">
    <w:name w:val="註解主旨 字元"/>
    <w:basedOn w:val="af0"/>
    <w:link w:val="af1"/>
    <w:uiPriority w:val="99"/>
    <w:semiHidden/>
    <w:rsid w:val="00EF2EA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F5738-38A8-456E-9DC4-4F5AB0E2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476</Words>
  <Characters>2719</Characters>
  <Application>Microsoft Office Word</Application>
  <DocSecurity>0</DocSecurity>
  <Lines>22</Lines>
  <Paragraphs>6</Paragraphs>
  <ScaleCrop>false</ScaleCrop>
  <Company>PricewaterhouseCoopers</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00</cp:lastModifiedBy>
  <cp:revision>7</cp:revision>
  <cp:lastPrinted>2016-05-03T07:13:00Z</cp:lastPrinted>
  <dcterms:created xsi:type="dcterms:W3CDTF">2016-05-29T15:40:00Z</dcterms:created>
  <dcterms:modified xsi:type="dcterms:W3CDTF">2016-06-20T01:27:00Z</dcterms:modified>
</cp:coreProperties>
</file>